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5D" w:rsidRPr="005F705D" w:rsidRDefault="005F705D" w:rsidP="005F705D">
      <w:pPr>
        <w:tabs>
          <w:tab w:val="left" w:pos="567"/>
        </w:tabs>
        <w:rPr>
          <w:b/>
          <w:sz w:val="24"/>
          <w:szCs w:val="24"/>
        </w:rPr>
      </w:pPr>
      <w:r w:rsidRPr="005F705D">
        <w:rPr>
          <w:b/>
          <w:sz w:val="24"/>
          <w:szCs w:val="24"/>
        </w:rPr>
        <w:t>3GPP TSG-RAN WG2 Meeting #1</w:t>
      </w:r>
      <w:r w:rsidR="00811FCD">
        <w:rPr>
          <w:b/>
          <w:sz w:val="24"/>
          <w:szCs w:val="24"/>
        </w:rPr>
        <w:t>06</w:t>
      </w:r>
      <w:r w:rsidRPr="005F705D">
        <w:rPr>
          <w:b/>
          <w:sz w:val="24"/>
          <w:szCs w:val="24"/>
        </w:rPr>
        <w:t xml:space="preserve">     </w:t>
      </w:r>
      <w:r w:rsidRPr="005F705D">
        <w:rPr>
          <w:b/>
          <w:sz w:val="24"/>
          <w:szCs w:val="24"/>
        </w:rPr>
        <w:tab/>
      </w:r>
      <w:r w:rsidRPr="005F705D">
        <w:rPr>
          <w:b/>
          <w:sz w:val="24"/>
          <w:szCs w:val="24"/>
        </w:rPr>
        <w:tab/>
      </w:r>
      <w:r>
        <w:rPr>
          <w:b/>
          <w:sz w:val="24"/>
          <w:szCs w:val="24"/>
        </w:rPr>
        <w:t xml:space="preserve">                                            </w:t>
      </w:r>
      <w:r w:rsidR="0093334C" w:rsidRPr="0093334C">
        <w:rPr>
          <w:b/>
          <w:sz w:val="24"/>
          <w:szCs w:val="24"/>
        </w:rPr>
        <w:t>R2-1907371</w:t>
      </w:r>
      <w:bookmarkStart w:id="0" w:name="_GoBack"/>
      <w:bookmarkEnd w:id="0"/>
    </w:p>
    <w:p w:rsidR="000F259D" w:rsidRDefault="00811FCD" w:rsidP="005F705D">
      <w:pPr>
        <w:tabs>
          <w:tab w:val="left" w:pos="567"/>
        </w:tabs>
        <w:rPr>
          <w:b/>
          <w:sz w:val="24"/>
          <w:szCs w:val="24"/>
        </w:rPr>
      </w:pPr>
      <w:r>
        <w:rPr>
          <w:b/>
          <w:sz w:val="24"/>
          <w:szCs w:val="24"/>
        </w:rPr>
        <w:t>Reno</w:t>
      </w:r>
      <w:r w:rsidR="005F705D" w:rsidRPr="005F705D">
        <w:rPr>
          <w:b/>
          <w:sz w:val="24"/>
          <w:szCs w:val="24"/>
        </w:rPr>
        <w:t xml:space="preserve">, </w:t>
      </w:r>
      <w:r>
        <w:rPr>
          <w:b/>
          <w:sz w:val="24"/>
          <w:szCs w:val="24"/>
        </w:rPr>
        <w:t>USA</w:t>
      </w:r>
      <w:r w:rsidR="005F705D" w:rsidRPr="005F705D">
        <w:rPr>
          <w:b/>
          <w:sz w:val="24"/>
          <w:szCs w:val="24"/>
        </w:rPr>
        <w:t xml:space="preserve">, </w:t>
      </w:r>
      <w:r>
        <w:rPr>
          <w:b/>
          <w:sz w:val="24"/>
          <w:szCs w:val="24"/>
        </w:rPr>
        <w:t>13</w:t>
      </w:r>
      <w:r w:rsidR="00AF733C" w:rsidRPr="00AF733C">
        <w:rPr>
          <w:b/>
          <w:sz w:val="24"/>
          <w:szCs w:val="24"/>
          <w:vertAlign w:val="superscript"/>
        </w:rPr>
        <w:t>th</w:t>
      </w:r>
      <w:r w:rsidR="00AF733C">
        <w:rPr>
          <w:b/>
          <w:sz w:val="24"/>
          <w:szCs w:val="24"/>
          <w:vertAlign w:val="superscript"/>
        </w:rPr>
        <w:t xml:space="preserve"> </w:t>
      </w:r>
      <w:r>
        <w:rPr>
          <w:b/>
          <w:sz w:val="24"/>
          <w:szCs w:val="24"/>
        </w:rPr>
        <w:t>May</w:t>
      </w:r>
      <w:r w:rsidR="00AF733C">
        <w:rPr>
          <w:b/>
          <w:sz w:val="24"/>
          <w:szCs w:val="24"/>
        </w:rPr>
        <w:t xml:space="preserve"> – 1</w:t>
      </w:r>
      <w:r>
        <w:rPr>
          <w:b/>
          <w:sz w:val="24"/>
          <w:szCs w:val="24"/>
        </w:rPr>
        <w:t>7</w:t>
      </w:r>
      <w:r w:rsidR="00AF733C" w:rsidRPr="00AF733C">
        <w:rPr>
          <w:b/>
          <w:sz w:val="24"/>
          <w:szCs w:val="24"/>
          <w:vertAlign w:val="superscript"/>
        </w:rPr>
        <w:t>th</w:t>
      </w:r>
      <w:r w:rsidR="00AF733C">
        <w:rPr>
          <w:b/>
          <w:sz w:val="24"/>
          <w:szCs w:val="24"/>
        </w:rPr>
        <w:t xml:space="preserve"> </w:t>
      </w:r>
      <w:r>
        <w:rPr>
          <w:b/>
          <w:sz w:val="24"/>
          <w:szCs w:val="24"/>
        </w:rPr>
        <w:t>May</w:t>
      </w:r>
      <w:r w:rsidR="005F705D" w:rsidRPr="005F705D">
        <w:rPr>
          <w:b/>
          <w:sz w:val="24"/>
          <w:szCs w:val="24"/>
        </w:rPr>
        <w:t xml:space="preserve">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E06B55">
        <w:rPr>
          <w:b/>
          <w:sz w:val="24"/>
          <w:szCs w:val="24"/>
        </w:rPr>
        <w:t>11.1.</w:t>
      </w:r>
      <w:r w:rsidR="00AF733C">
        <w:rPr>
          <w:b/>
          <w:sz w:val="24"/>
          <w:szCs w:val="24"/>
        </w:rPr>
        <w:t>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r w:rsidR="00A3158B">
        <w:rPr>
          <w:b/>
          <w:sz w:val="24"/>
          <w:szCs w:val="24"/>
        </w:rPr>
        <w:t>, KDDI, Telstra</w:t>
      </w:r>
      <w:r w:rsidR="0027434B">
        <w:rPr>
          <w:b/>
          <w:sz w:val="24"/>
          <w:szCs w:val="24"/>
        </w:rPr>
        <w:t>, Verizon</w:t>
      </w:r>
      <w:r w:rsidR="0079168D">
        <w:rPr>
          <w:b/>
          <w:sz w:val="24"/>
          <w:szCs w:val="24"/>
        </w:rPr>
        <w:t>, Sprint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AF733C">
        <w:rPr>
          <w:b/>
          <w:sz w:val="24"/>
          <w:szCs w:val="24"/>
        </w:rPr>
        <w:t>Regarding use of IPv6 flow labels for 1:1 mapping in IAB</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A61CB6" w:rsidRDefault="006F3E32" w:rsidP="004A7002">
      <w:pPr>
        <w:rPr>
          <w:rFonts w:ascii="Calibri" w:eastAsia="Malgun Gothic" w:hAnsi="Calibri" w:cs="Batang"/>
          <w:lang w:val="en-GB" w:eastAsia="ko-KR"/>
        </w:rPr>
      </w:pPr>
      <w:r>
        <w:rPr>
          <w:rFonts w:ascii="Calibri" w:eastAsia="Malgun Gothic" w:hAnsi="Calibri" w:cs="Batang"/>
          <w:lang w:val="en-GB" w:eastAsia="ko-KR"/>
        </w:rPr>
        <w:t>For IAB operation in the downlink, the IAB-donor DU needs to perform mapping of UE bearer</w:t>
      </w:r>
      <w:r w:rsidR="00CD0E88">
        <w:rPr>
          <w:rFonts w:ascii="Calibri" w:eastAsia="Malgun Gothic" w:hAnsi="Calibri" w:cs="Batang"/>
          <w:lang w:val="en-GB" w:eastAsia="ko-KR"/>
        </w:rPr>
        <w:t>s</w:t>
      </w:r>
      <w:r>
        <w:rPr>
          <w:rFonts w:ascii="Calibri" w:eastAsia="Malgun Gothic" w:hAnsi="Calibri" w:cs="Batang"/>
          <w:lang w:val="en-GB" w:eastAsia="ko-KR"/>
        </w:rPr>
        <w:t xml:space="preserve"> to the appropriate RLC channel</w:t>
      </w:r>
      <w:r w:rsidR="00CD0E88">
        <w:rPr>
          <w:rFonts w:ascii="Calibri" w:eastAsia="Malgun Gothic" w:hAnsi="Calibri" w:cs="Batang"/>
          <w:lang w:val="en-GB" w:eastAsia="ko-KR"/>
        </w:rPr>
        <w:t>s</w:t>
      </w:r>
      <w:r>
        <w:rPr>
          <w:rFonts w:ascii="Calibri" w:eastAsia="Malgun Gothic" w:hAnsi="Calibri" w:cs="Batang"/>
          <w:lang w:val="en-GB" w:eastAsia="ko-KR"/>
        </w:rPr>
        <w:t xml:space="preserve">. How this mapping should be performed was discussed </w:t>
      </w:r>
      <w:r w:rsidR="00A61CB6">
        <w:rPr>
          <w:rFonts w:ascii="Calibri" w:eastAsia="Malgun Gothic" w:hAnsi="Calibri" w:cs="Batang"/>
          <w:lang w:val="en-GB" w:eastAsia="ko-KR"/>
        </w:rPr>
        <w:t>in</w:t>
      </w:r>
      <w:r w:rsidR="00F20DFF" w:rsidRPr="00F20DFF">
        <w:rPr>
          <w:rFonts w:ascii="Calibri" w:eastAsia="Malgun Gothic" w:hAnsi="Calibri" w:cs="Batang"/>
          <w:lang w:val="en-GB" w:eastAsia="ko-KR"/>
        </w:rPr>
        <w:t xml:space="preserve"> RAN3#103bis</w:t>
      </w:r>
      <w:r w:rsidR="00184E81">
        <w:rPr>
          <w:rFonts w:ascii="Calibri" w:eastAsia="Malgun Gothic" w:hAnsi="Calibri" w:cs="Batang"/>
          <w:lang w:val="en-GB" w:eastAsia="ko-KR"/>
        </w:rPr>
        <w:t>, resulting in the</w:t>
      </w:r>
      <w:r w:rsidR="00F20DFF" w:rsidRPr="00F20DFF">
        <w:rPr>
          <w:rFonts w:ascii="Calibri" w:eastAsia="Malgun Gothic" w:hAnsi="Calibri" w:cs="Batang"/>
          <w:lang w:val="en-GB" w:eastAsia="ko-KR"/>
        </w:rPr>
        <w:t xml:space="preserve"> following </w:t>
      </w:r>
      <w:r w:rsidR="00184E81">
        <w:rPr>
          <w:rFonts w:ascii="Calibri" w:eastAsia="Malgun Gothic" w:hAnsi="Calibri" w:cs="Batang"/>
          <w:lang w:val="en-GB" w:eastAsia="ko-KR"/>
        </w:rPr>
        <w:t xml:space="preserve">RAN3 </w:t>
      </w:r>
      <w:r w:rsidR="00F20DFF" w:rsidRPr="00F20DFF">
        <w:rPr>
          <w:rFonts w:ascii="Calibri" w:eastAsia="Malgun Gothic" w:hAnsi="Calibri" w:cs="Batang"/>
          <w:lang w:val="en-GB" w:eastAsia="ko-KR"/>
        </w:rPr>
        <w:t>working assumptio</w:t>
      </w:r>
      <w:r w:rsidR="00184E81">
        <w:rPr>
          <w:rFonts w:ascii="Calibri" w:eastAsia="Malgun Gothic" w:hAnsi="Calibri" w:cs="Batang"/>
          <w:lang w:val="en-GB" w:eastAsia="ko-KR"/>
        </w:rPr>
        <w:t>n [1]</w:t>
      </w:r>
      <w:r w:rsidR="00A61CB6">
        <w:rPr>
          <w:rFonts w:ascii="Calibri" w:eastAsia="Malgun Gothic" w:hAnsi="Calibri" w:cs="Batang"/>
          <w:lang w:val="en-GB" w:eastAsia="ko-KR"/>
        </w:rPr>
        <w:t xml:space="preserve"> and </w:t>
      </w:r>
      <w:r w:rsidR="00184E81">
        <w:rPr>
          <w:rFonts w:ascii="Calibri" w:eastAsia="Malgun Gothic" w:hAnsi="Calibri" w:cs="Batang"/>
          <w:lang w:val="en-GB" w:eastAsia="ko-KR"/>
        </w:rPr>
        <w:t>corresponding LS to RAN2 [2] to</w:t>
      </w:r>
      <w:r w:rsidR="00A61CB6">
        <w:rPr>
          <w:rFonts w:ascii="Calibri" w:eastAsia="Malgun Gothic" w:hAnsi="Calibri" w:cs="Batang"/>
          <w:lang w:val="en-GB" w:eastAsia="ko-KR"/>
        </w:rPr>
        <w:t xml:space="preserve"> confirm whether </w:t>
      </w:r>
      <w:r w:rsidR="00184E81">
        <w:rPr>
          <w:rFonts w:ascii="Calibri" w:eastAsia="Malgun Gothic" w:hAnsi="Calibri" w:cs="Batang"/>
          <w:lang w:val="en-GB" w:eastAsia="ko-KR"/>
        </w:rPr>
        <w:t>the</w:t>
      </w:r>
      <w:r w:rsidR="00736776">
        <w:rPr>
          <w:rFonts w:ascii="Calibri" w:eastAsia="Malgun Gothic" w:hAnsi="Calibri" w:cs="Batang"/>
          <w:lang w:val="en-GB" w:eastAsia="ko-KR"/>
        </w:rPr>
        <w:t xml:space="preserve"> </w:t>
      </w:r>
      <w:r w:rsidR="00A61CB6">
        <w:rPr>
          <w:rFonts w:ascii="Calibri" w:eastAsia="Malgun Gothic" w:hAnsi="Calibri" w:cs="Batang"/>
          <w:lang w:val="en-GB" w:eastAsia="ko-KR"/>
        </w:rPr>
        <w:t>number of bearers supported with this agreement</w:t>
      </w:r>
      <w:r w:rsidR="00CD0E88">
        <w:rPr>
          <w:rFonts w:ascii="Calibri" w:eastAsia="Malgun Gothic" w:hAnsi="Calibri" w:cs="Batang"/>
          <w:lang w:val="en-GB" w:eastAsia="ko-KR"/>
        </w:rPr>
        <w:t xml:space="preserve"> </w:t>
      </w:r>
      <w:r w:rsidR="00184E81">
        <w:rPr>
          <w:rFonts w:ascii="Calibri" w:eastAsia="Malgun Gothic" w:hAnsi="Calibri" w:cs="Batang"/>
          <w:lang w:val="en-GB" w:eastAsia="ko-KR"/>
        </w:rPr>
        <w:t>is sufficient.</w:t>
      </w:r>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ascii="Calibri" w:hAnsi="Calibri" w:cs="Calibri"/>
          <w:b/>
          <w:color w:val="00B050"/>
          <w:sz w:val="18"/>
          <w:szCs w:val="24"/>
        </w:rPr>
      </w:pPr>
      <w:r>
        <w:rPr>
          <w:rFonts w:cs="Calibri"/>
          <w:b/>
          <w:color w:val="00B050"/>
          <w:sz w:val="18"/>
          <w:szCs w:val="24"/>
        </w:rPr>
        <w:t>WA: adopt IPv6 flow labels for 1:1 mapping; FFS whether to also use DSCP</w:t>
      </w:r>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cs="Calibri"/>
          <w:b/>
          <w:color w:val="00B050"/>
          <w:sz w:val="18"/>
          <w:szCs w:val="24"/>
        </w:rPr>
      </w:pPr>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cs="Calibri"/>
          <w:b/>
          <w:sz w:val="18"/>
          <w:szCs w:val="24"/>
        </w:rPr>
      </w:pPr>
      <w:r>
        <w:rPr>
          <w:rFonts w:cs="Calibri"/>
          <w:b/>
          <w:sz w:val="18"/>
          <w:szCs w:val="24"/>
        </w:rPr>
        <w:t>- ask RAN2 to confirm above assumption; if RAN2 confirms, it seems we can turn WA into agreement</w:t>
      </w:r>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cs="Calibri"/>
          <w:b/>
          <w:sz w:val="18"/>
          <w:szCs w:val="24"/>
        </w:rPr>
      </w:pPr>
      <w:r>
        <w:rPr>
          <w:rFonts w:cs="Calibri"/>
          <w:b/>
          <w:sz w:val="18"/>
          <w:szCs w:val="24"/>
        </w:rPr>
        <w:t xml:space="preserve"> </w:t>
      </w:r>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cs="Calibri"/>
          <w:b/>
          <w:color w:val="FF00FF"/>
          <w:sz w:val="18"/>
          <w:szCs w:val="24"/>
        </w:rPr>
      </w:pPr>
      <w:r>
        <w:rPr>
          <w:rFonts w:cs="Calibri"/>
          <w:b/>
          <w:color w:val="FF00FF"/>
          <w:sz w:val="18"/>
          <w:szCs w:val="24"/>
        </w:rPr>
        <w:t># 36_LStoRAN2</w:t>
      </w:r>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cs="Calibri"/>
          <w:b/>
          <w:color w:val="FF00FF"/>
          <w:sz w:val="18"/>
          <w:szCs w:val="24"/>
        </w:rPr>
      </w:pPr>
      <w:r>
        <w:rPr>
          <w:rFonts w:cs="Calibri"/>
          <w:b/>
          <w:color w:val="FF00FF"/>
          <w:sz w:val="18"/>
          <w:szCs w:val="24"/>
        </w:rPr>
        <w:t xml:space="preserve">-  capture agreement &amp; WA (“full picture”), ask for confirmation that the # of bearers supported with this </w:t>
      </w:r>
      <w:proofErr w:type="spellStart"/>
      <w:r>
        <w:rPr>
          <w:rFonts w:cs="Calibri"/>
          <w:b/>
          <w:color w:val="FF00FF"/>
          <w:sz w:val="18"/>
          <w:szCs w:val="24"/>
        </w:rPr>
        <w:t>agreement+WA</w:t>
      </w:r>
      <w:proofErr w:type="spellEnd"/>
      <w:r>
        <w:rPr>
          <w:rFonts w:cs="Calibri"/>
          <w:b/>
          <w:color w:val="FF00FF"/>
          <w:sz w:val="18"/>
          <w:szCs w:val="24"/>
        </w:rPr>
        <w:t xml:space="preserve"> is </w:t>
      </w:r>
      <w:proofErr w:type="gramStart"/>
      <w:r>
        <w:rPr>
          <w:rFonts w:cs="Calibri"/>
          <w:b/>
          <w:color w:val="FF00FF"/>
          <w:sz w:val="18"/>
          <w:szCs w:val="24"/>
        </w:rPr>
        <w:t>sufficient</w:t>
      </w:r>
      <w:proofErr w:type="gramEnd"/>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cs="Calibri"/>
          <w:color w:val="000000"/>
          <w:sz w:val="18"/>
          <w:szCs w:val="24"/>
        </w:rPr>
      </w:pPr>
      <w:r>
        <w:rPr>
          <w:rFonts w:cs="Calibri"/>
          <w:color w:val="000000"/>
          <w:sz w:val="18"/>
          <w:szCs w:val="24"/>
        </w:rPr>
        <w:t>(QC)</w:t>
      </w:r>
    </w:p>
    <w:p w:rsidR="00A61CB6" w:rsidRDefault="00A61CB6" w:rsidP="00A61CB6">
      <w:pPr>
        <w:widowControl w:val="0"/>
        <w:pBdr>
          <w:top w:val="single" w:sz="4" w:space="1" w:color="auto"/>
          <w:left w:val="single" w:sz="4" w:space="4" w:color="auto"/>
          <w:bottom w:val="single" w:sz="4" w:space="1" w:color="auto"/>
          <w:right w:val="single" w:sz="4" w:space="4" w:color="auto"/>
        </w:pBdr>
        <w:spacing w:after="0"/>
        <w:ind w:left="144" w:hanging="144"/>
        <w:rPr>
          <w:rFonts w:cs="Calibri"/>
          <w:b/>
          <w:color w:val="000000"/>
          <w:sz w:val="18"/>
          <w:szCs w:val="24"/>
        </w:rPr>
      </w:pPr>
      <w:r>
        <w:rPr>
          <w:rFonts w:cs="Calibri"/>
          <w:b/>
          <w:color w:val="000000"/>
          <w:sz w:val="18"/>
          <w:szCs w:val="24"/>
        </w:rPr>
        <w:t xml:space="preserve">LS to RAN2 in </w:t>
      </w:r>
      <w:hyperlink r:id="rId8" w:history="1">
        <w:r>
          <w:rPr>
            <w:rStyle w:val="Hyperlink"/>
            <w:rFonts w:cs="Calibri"/>
            <w:b/>
            <w:sz w:val="18"/>
            <w:szCs w:val="24"/>
          </w:rPr>
          <w:t>R3-192065</w:t>
        </w:r>
      </w:hyperlink>
    </w:p>
    <w:p w:rsidR="00A61CB6" w:rsidRDefault="00A61CB6" w:rsidP="004A7002">
      <w:pPr>
        <w:rPr>
          <w:rFonts w:ascii="Calibri" w:eastAsia="Malgun Gothic" w:hAnsi="Calibri" w:cs="Batang"/>
          <w:lang w:val="en-GB" w:eastAsia="ko-KR"/>
        </w:rPr>
      </w:pPr>
    </w:p>
    <w:p w:rsidR="00A61CB6" w:rsidRDefault="00A61CB6" w:rsidP="004A7002">
      <w:pPr>
        <w:rPr>
          <w:rFonts w:ascii="Calibri" w:eastAsia="Malgun Gothic" w:hAnsi="Calibri" w:cs="Batang"/>
          <w:lang w:val="en-GB" w:eastAsia="ko-KR"/>
        </w:rPr>
      </w:pPr>
      <w:r>
        <w:rPr>
          <w:rFonts w:ascii="Calibri" w:eastAsia="Malgun Gothic" w:hAnsi="Calibri" w:cs="Batang"/>
          <w:lang w:val="en-GB" w:eastAsia="ko-KR"/>
        </w:rPr>
        <w:t>In this contribution we discuss whether the working a</w:t>
      </w:r>
      <w:r w:rsidR="00074609">
        <w:rPr>
          <w:rFonts w:ascii="Calibri" w:eastAsia="Malgun Gothic" w:hAnsi="Calibri" w:cs="Batang"/>
          <w:lang w:val="en-GB" w:eastAsia="ko-KR"/>
        </w:rPr>
        <w:t>ssumption</w:t>
      </w:r>
      <w:r>
        <w:rPr>
          <w:rFonts w:ascii="Calibri" w:eastAsia="Malgun Gothic" w:hAnsi="Calibri" w:cs="Batang"/>
          <w:lang w:val="en-GB" w:eastAsia="ko-KR"/>
        </w:rPr>
        <w:t xml:space="preserve"> </w:t>
      </w:r>
      <w:r w:rsidR="00AD0F30">
        <w:rPr>
          <w:rFonts w:ascii="Calibri" w:eastAsia="Malgun Gothic" w:hAnsi="Calibri" w:cs="Batang"/>
          <w:lang w:val="en-GB" w:eastAsia="ko-KR"/>
        </w:rPr>
        <w:t xml:space="preserve">is </w:t>
      </w:r>
      <w:r w:rsidR="00001BF8">
        <w:rPr>
          <w:rFonts w:ascii="Calibri" w:eastAsia="Malgun Gothic" w:hAnsi="Calibri" w:cs="Batang"/>
          <w:lang w:val="en-GB" w:eastAsia="ko-KR"/>
        </w:rPr>
        <w:t>enough</w:t>
      </w:r>
      <w:r w:rsidR="00AD0F30">
        <w:rPr>
          <w:rFonts w:ascii="Calibri" w:eastAsia="Malgun Gothic" w:hAnsi="Calibri" w:cs="Batang"/>
          <w:lang w:val="en-GB" w:eastAsia="ko-KR"/>
        </w:rPr>
        <w:t xml:space="preserve"> to support the number of bearers required </w:t>
      </w:r>
      <w:r w:rsidR="007416A2">
        <w:rPr>
          <w:rFonts w:ascii="Calibri" w:eastAsia="Malgun Gothic" w:hAnsi="Calibri" w:cs="Batang"/>
          <w:lang w:val="en-GB" w:eastAsia="ko-KR"/>
        </w:rPr>
        <w:t xml:space="preserve">in a practical IAB deployment </w:t>
      </w:r>
      <w:r w:rsidR="00AD0F30">
        <w:rPr>
          <w:rFonts w:ascii="Calibri" w:eastAsia="Malgun Gothic" w:hAnsi="Calibri" w:cs="Batang"/>
          <w:lang w:val="en-GB" w:eastAsia="ko-KR"/>
        </w:rPr>
        <w:t>from an operator’s perspective</w:t>
      </w:r>
      <w:r>
        <w:rPr>
          <w:rFonts w:ascii="Calibri" w:eastAsia="Malgun Gothic" w:hAnsi="Calibri" w:cs="Batang"/>
          <w:lang w:val="en-GB" w:eastAsia="ko-KR"/>
        </w:rPr>
        <w:t xml:space="preserve">. </w:t>
      </w:r>
    </w:p>
    <w:p w:rsidR="00A61CB6" w:rsidRPr="004131D6" w:rsidRDefault="00A61CB6" w:rsidP="004A7002">
      <w:pPr>
        <w:rPr>
          <w:rFonts w:ascii="Calibri" w:eastAsia="Malgun Gothic" w:hAnsi="Calibri" w:cs="Batang"/>
          <w:lang w:val="en-GB" w:eastAsia="ko-KR"/>
        </w:rPr>
      </w:pPr>
    </w:p>
    <w:p w:rsidR="004A7002" w:rsidRDefault="00F20DFF"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IPv6 Flow Labels for 1:1 Mapping in IAB</w:t>
      </w:r>
    </w:p>
    <w:p w:rsidR="00C30C6F" w:rsidRDefault="00C30C6F" w:rsidP="004A7002">
      <w:pPr>
        <w:rPr>
          <w:rFonts w:ascii="Calibri" w:eastAsia="Malgun Gothic" w:hAnsi="Calibri" w:cs="Batang"/>
          <w:lang w:val="en-GB" w:eastAsia="ko-KR"/>
        </w:rPr>
      </w:pPr>
      <w:r>
        <w:rPr>
          <w:rFonts w:ascii="Calibri" w:eastAsia="Malgun Gothic" w:hAnsi="Calibri" w:cs="Batang"/>
          <w:lang w:val="en-GB" w:eastAsia="ko-KR"/>
        </w:rPr>
        <w:t xml:space="preserve">Per the above stated working </w:t>
      </w:r>
      <w:r w:rsidR="00162B42">
        <w:rPr>
          <w:rFonts w:ascii="Calibri" w:eastAsia="Malgun Gothic" w:hAnsi="Calibri" w:cs="Batang"/>
          <w:lang w:val="en-GB" w:eastAsia="ko-KR"/>
        </w:rPr>
        <w:t>assumption</w:t>
      </w:r>
      <w:r>
        <w:rPr>
          <w:rFonts w:ascii="Calibri" w:eastAsia="Malgun Gothic" w:hAnsi="Calibri" w:cs="Batang"/>
          <w:lang w:val="en-GB" w:eastAsia="ko-KR"/>
        </w:rPr>
        <w:t xml:space="preserve"> in RAN3#105bis, t</w:t>
      </w:r>
      <w:r w:rsidR="00840540">
        <w:rPr>
          <w:rFonts w:ascii="Calibri" w:eastAsia="Malgun Gothic" w:hAnsi="Calibri" w:cs="Batang"/>
          <w:lang w:val="en-GB" w:eastAsia="ko-KR"/>
        </w:rPr>
        <w:t xml:space="preserve">he </w:t>
      </w:r>
      <w:r>
        <w:rPr>
          <w:rFonts w:ascii="Calibri" w:eastAsia="Malgun Gothic" w:hAnsi="Calibri" w:cs="Batang"/>
          <w:lang w:val="en-GB" w:eastAsia="ko-KR"/>
        </w:rPr>
        <w:t xml:space="preserve">20-bit flow label field in the IPv6 header </w:t>
      </w:r>
      <w:r w:rsidR="00001BF8">
        <w:rPr>
          <w:rFonts w:ascii="Calibri" w:eastAsia="Malgun Gothic" w:hAnsi="Calibri" w:cs="Batang"/>
          <w:lang w:val="en-GB" w:eastAsia="ko-KR"/>
        </w:rPr>
        <w:t>[</w:t>
      </w:r>
      <w:r w:rsidR="00074609">
        <w:rPr>
          <w:rFonts w:ascii="Calibri" w:eastAsia="Malgun Gothic" w:hAnsi="Calibri" w:cs="Batang"/>
          <w:lang w:val="en-GB" w:eastAsia="ko-KR"/>
        </w:rPr>
        <w:t>3</w:t>
      </w:r>
      <w:r w:rsidR="00001BF8">
        <w:rPr>
          <w:rFonts w:ascii="Calibri" w:eastAsia="Malgun Gothic" w:hAnsi="Calibri" w:cs="Batang"/>
          <w:lang w:val="en-GB" w:eastAsia="ko-KR"/>
        </w:rPr>
        <w:t xml:space="preserve">] </w:t>
      </w:r>
      <w:r>
        <w:rPr>
          <w:rFonts w:ascii="Calibri" w:eastAsia="Malgun Gothic" w:hAnsi="Calibri" w:cs="Batang"/>
          <w:lang w:val="en-GB" w:eastAsia="ko-KR"/>
        </w:rPr>
        <w:t>is adopted for 1:1 mapping between the UE bearer</w:t>
      </w:r>
      <w:r w:rsidR="007416A2">
        <w:rPr>
          <w:rFonts w:ascii="Calibri" w:eastAsia="Malgun Gothic" w:hAnsi="Calibri" w:cs="Batang"/>
          <w:lang w:val="en-GB" w:eastAsia="ko-KR"/>
        </w:rPr>
        <w:t>s</w:t>
      </w:r>
      <w:r>
        <w:rPr>
          <w:rFonts w:ascii="Calibri" w:eastAsia="Malgun Gothic" w:hAnsi="Calibri" w:cs="Batang"/>
          <w:lang w:val="en-GB" w:eastAsia="ko-KR"/>
        </w:rPr>
        <w:t xml:space="preserve"> and backhaul RLC channel</w:t>
      </w:r>
      <w:r w:rsidR="007416A2">
        <w:rPr>
          <w:rFonts w:ascii="Calibri" w:eastAsia="Malgun Gothic" w:hAnsi="Calibri" w:cs="Batang"/>
          <w:lang w:val="en-GB" w:eastAsia="ko-KR"/>
        </w:rPr>
        <w:t>s</w:t>
      </w:r>
      <w:r>
        <w:rPr>
          <w:rFonts w:ascii="Calibri" w:eastAsia="Malgun Gothic" w:hAnsi="Calibri" w:cs="Batang"/>
          <w:lang w:val="en-GB" w:eastAsia="ko-KR"/>
        </w:rPr>
        <w:t xml:space="preserve"> at the IAB-donor DU. </w:t>
      </w:r>
    </w:p>
    <w:p w:rsidR="00C30C6F" w:rsidRDefault="00C30C6F" w:rsidP="00C30C6F">
      <w:pPr>
        <w:jc w:val="center"/>
        <w:rPr>
          <w:rFonts w:ascii="Calibri" w:eastAsia="Malgun Gothic" w:hAnsi="Calibri" w:cs="Batang"/>
          <w:lang w:val="en-GB" w:eastAsia="ko-KR"/>
        </w:rPr>
      </w:pPr>
      <w:r>
        <w:rPr>
          <w:noProof/>
        </w:rPr>
        <w:drawing>
          <wp:inline distT="0" distB="0" distL="0" distR="0" wp14:anchorId="2F34BAAA" wp14:editId="6FCA48A4">
            <wp:extent cx="3361018" cy="2125643"/>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72037" cy="2132612"/>
                    </a:xfrm>
                    <a:prstGeom prst="rect">
                      <a:avLst/>
                    </a:prstGeom>
                  </pic:spPr>
                </pic:pic>
              </a:graphicData>
            </a:graphic>
          </wp:inline>
        </w:drawing>
      </w:r>
    </w:p>
    <w:p w:rsidR="00C30C6F" w:rsidRDefault="00C30C6F" w:rsidP="00C30C6F">
      <w:pPr>
        <w:jc w:val="center"/>
        <w:rPr>
          <w:rFonts w:ascii="Calibri" w:eastAsia="Malgun Gothic" w:hAnsi="Calibri" w:cs="Batang"/>
          <w:lang w:val="en-GB" w:eastAsia="ko-KR"/>
        </w:rPr>
      </w:pPr>
      <w:r>
        <w:rPr>
          <w:rFonts w:ascii="Calibri" w:eastAsia="Malgun Gothic" w:hAnsi="Calibri" w:cs="Batang"/>
          <w:lang w:val="en-GB" w:eastAsia="ko-KR"/>
        </w:rPr>
        <w:t>Figure 1: IPv6 header</w:t>
      </w:r>
      <w:r w:rsidR="00AD0F30">
        <w:rPr>
          <w:rFonts w:ascii="Calibri" w:eastAsia="Malgun Gothic" w:hAnsi="Calibri" w:cs="Batang"/>
          <w:lang w:val="en-GB" w:eastAsia="ko-KR"/>
        </w:rPr>
        <w:t xml:space="preserve"> </w:t>
      </w:r>
    </w:p>
    <w:p w:rsidR="00001BF8" w:rsidRDefault="00001BF8" w:rsidP="004A7002">
      <w:pPr>
        <w:rPr>
          <w:rFonts w:ascii="Calibri" w:eastAsia="Malgun Gothic" w:hAnsi="Calibri" w:cs="Batang"/>
          <w:lang w:val="en-GB" w:eastAsia="ko-KR"/>
        </w:rPr>
      </w:pPr>
      <w:r>
        <w:rPr>
          <w:rFonts w:ascii="Calibri" w:eastAsia="Malgun Gothic" w:hAnsi="Calibri" w:cs="Batang"/>
          <w:lang w:val="en-GB" w:eastAsia="ko-KR"/>
        </w:rPr>
        <w:lastRenderedPageBreak/>
        <w:t>In th</w:t>
      </w:r>
      <w:r w:rsidR="00D55C24">
        <w:rPr>
          <w:rFonts w:ascii="Calibri" w:eastAsia="Malgun Gothic" w:hAnsi="Calibri" w:cs="Batang"/>
          <w:lang w:val="en-GB" w:eastAsia="ko-KR"/>
        </w:rPr>
        <w:t xml:space="preserve">is section </w:t>
      </w:r>
      <w:r>
        <w:rPr>
          <w:rFonts w:ascii="Calibri" w:eastAsia="Malgun Gothic" w:hAnsi="Calibri" w:cs="Batang"/>
          <w:lang w:val="en-GB" w:eastAsia="ko-KR"/>
        </w:rPr>
        <w:t xml:space="preserve">we consider the implications of </w:t>
      </w:r>
      <w:r w:rsidR="00D55C24">
        <w:rPr>
          <w:rFonts w:ascii="Calibri" w:eastAsia="Malgun Gothic" w:hAnsi="Calibri" w:cs="Batang"/>
          <w:lang w:val="en-GB" w:eastAsia="ko-KR"/>
        </w:rPr>
        <w:t>using a 20-bit flow label for bearer mapping (as opposed to a larger number, such as a 32-bit GTP</w:t>
      </w:r>
      <w:r w:rsidR="00621955">
        <w:rPr>
          <w:rFonts w:ascii="Calibri" w:eastAsia="Malgun Gothic" w:hAnsi="Calibri" w:cs="Batang"/>
          <w:lang w:val="en-GB" w:eastAsia="ko-KR"/>
        </w:rPr>
        <w:t>-U</w:t>
      </w:r>
      <w:r w:rsidR="00D55C24">
        <w:rPr>
          <w:rFonts w:ascii="Calibri" w:eastAsia="Malgun Gothic" w:hAnsi="Calibri" w:cs="Batang"/>
          <w:lang w:val="en-GB" w:eastAsia="ko-KR"/>
        </w:rPr>
        <w:t xml:space="preserve"> TEID) and discuss whether </w:t>
      </w:r>
      <w:r w:rsidR="0075669D">
        <w:rPr>
          <w:rFonts w:ascii="Calibri" w:eastAsia="Malgun Gothic" w:hAnsi="Calibri" w:cs="Batang"/>
          <w:lang w:val="en-GB" w:eastAsia="ko-KR"/>
        </w:rPr>
        <w:t>it</w:t>
      </w:r>
      <w:r w:rsidR="00D55C24">
        <w:rPr>
          <w:rFonts w:ascii="Calibri" w:eastAsia="Malgun Gothic" w:hAnsi="Calibri" w:cs="Batang"/>
          <w:lang w:val="en-GB" w:eastAsia="ko-KR"/>
        </w:rPr>
        <w:t xml:space="preserve"> is sufficient for a practically deployed IAB network</w:t>
      </w:r>
      <w:r w:rsidR="001901AC">
        <w:rPr>
          <w:rFonts w:ascii="Calibri" w:eastAsia="Malgun Gothic" w:hAnsi="Calibri" w:cs="Batang"/>
          <w:lang w:val="en-GB" w:eastAsia="ko-KR"/>
        </w:rPr>
        <w:t xml:space="preserve"> </w:t>
      </w:r>
      <w:r w:rsidR="0075669D">
        <w:rPr>
          <w:rFonts w:ascii="Calibri" w:eastAsia="Malgun Gothic" w:hAnsi="Calibri" w:cs="Batang"/>
          <w:lang w:val="en-GB" w:eastAsia="ko-KR"/>
        </w:rPr>
        <w:t>with</w:t>
      </w:r>
      <w:r w:rsidR="001901AC">
        <w:rPr>
          <w:rFonts w:ascii="Calibri" w:eastAsia="Malgun Gothic" w:hAnsi="Calibri" w:cs="Batang"/>
          <w:lang w:val="en-GB" w:eastAsia="ko-KR"/>
        </w:rPr>
        <w:t xml:space="preserve"> 1:1 bearer mapping between UE bearers and backhaul RLC channels. Note that 1:1 bearer mapping may be required to allow more bearer-specific QoS treatment.</w:t>
      </w:r>
      <w:r w:rsidR="00D55C24">
        <w:rPr>
          <w:rFonts w:ascii="Calibri" w:eastAsia="Malgun Gothic" w:hAnsi="Calibri" w:cs="Batang"/>
          <w:lang w:val="en-GB" w:eastAsia="ko-KR"/>
        </w:rPr>
        <w:t xml:space="preserve"> </w:t>
      </w:r>
    </w:p>
    <w:p w:rsidR="00D55C24" w:rsidRPr="00094DA3" w:rsidRDefault="00D55C24" w:rsidP="004A7002">
      <w:pPr>
        <w:rPr>
          <w:rFonts w:ascii="Calibri" w:eastAsia="Malgun Gothic" w:hAnsi="Calibri" w:cs="Batang"/>
          <w:b/>
          <w:u w:val="single"/>
          <w:lang w:val="en-GB" w:eastAsia="ko-KR"/>
        </w:rPr>
      </w:pPr>
      <w:r w:rsidRPr="00094DA3">
        <w:rPr>
          <w:rFonts w:ascii="Calibri" w:eastAsia="Malgun Gothic" w:hAnsi="Calibri" w:cs="Batang"/>
          <w:b/>
          <w:u w:val="single"/>
          <w:lang w:val="en-GB" w:eastAsia="ko-KR"/>
        </w:rPr>
        <w:t>Number of supported IAB nodes</w:t>
      </w:r>
    </w:p>
    <w:p w:rsidR="001901AC" w:rsidRDefault="00001BF8" w:rsidP="004A7002">
      <w:pPr>
        <w:rPr>
          <w:rFonts w:ascii="Calibri" w:eastAsia="Malgun Gothic" w:hAnsi="Calibri" w:cs="Batang"/>
          <w:lang w:val="en-GB" w:eastAsia="ko-KR"/>
        </w:rPr>
      </w:pPr>
      <w:r>
        <w:rPr>
          <w:rFonts w:ascii="Calibri" w:eastAsia="Malgun Gothic" w:hAnsi="Calibri" w:cs="Batang"/>
          <w:lang w:val="en-GB" w:eastAsia="ko-KR"/>
        </w:rPr>
        <w:t>A 20-bit flow label corresponds to 1,048,576 unique bearers. Considering the 32</w:t>
      </w:r>
      <w:r w:rsidR="00D55C24">
        <w:rPr>
          <w:rFonts w:ascii="Calibri" w:eastAsia="Malgun Gothic" w:hAnsi="Calibri" w:cs="Batang"/>
          <w:lang w:val="en-GB" w:eastAsia="ko-KR"/>
        </w:rPr>
        <w:t>-</w:t>
      </w:r>
      <w:r>
        <w:rPr>
          <w:rFonts w:ascii="Calibri" w:eastAsia="Malgun Gothic" w:hAnsi="Calibri" w:cs="Batang"/>
          <w:lang w:val="en-GB" w:eastAsia="ko-KR"/>
        </w:rPr>
        <w:t xml:space="preserve">bearer limit per MT, </w:t>
      </w:r>
      <w:r w:rsidR="00D55C24">
        <w:rPr>
          <w:rFonts w:ascii="Calibri" w:eastAsia="Malgun Gothic" w:hAnsi="Calibri" w:cs="Batang"/>
          <w:lang w:val="en-GB" w:eastAsia="ko-KR"/>
        </w:rPr>
        <w:t>and one MT per IAB node, this corresponds to an IAB network where the IAB-donor DU supports a topology of 32,768 IAB nodes. A practical</w:t>
      </w:r>
      <w:r w:rsidR="00094DA3">
        <w:rPr>
          <w:rFonts w:ascii="Calibri" w:eastAsia="Malgun Gothic" w:hAnsi="Calibri" w:cs="Batang"/>
          <w:lang w:val="en-GB" w:eastAsia="ko-KR"/>
        </w:rPr>
        <w:t xml:space="preserve"> well-managed</w:t>
      </w:r>
      <w:r w:rsidR="00D55C24">
        <w:rPr>
          <w:rFonts w:ascii="Calibri" w:eastAsia="Malgun Gothic" w:hAnsi="Calibri" w:cs="Batang"/>
          <w:lang w:val="en-GB" w:eastAsia="ko-KR"/>
        </w:rPr>
        <w:t xml:space="preserve"> IAB network is likely to have on average about 2 to 3 hops and perhaps extending to 4 or 5 hops in rare cases. </w:t>
      </w:r>
      <w:r w:rsidR="00B714C9">
        <w:rPr>
          <w:rFonts w:ascii="Calibri" w:eastAsia="Malgun Gothic" w:hAnsi="Calibri" w:cs="Batang"/>
          <w:lang w:val="en-GB" w:eastAsia="ko-KR"/>
        </w:rPr>
        <w:t xml:space="preserve">If we consider an aggressive assumption of 3 or 4 </w:t>
      </w:r>
      <w:r w:rsidR="0075669D">
        <w:rPr>
          <w:rFonts w:ascii="Calibri" w:eastAsia="Malgun Gothic" w:hAnsi="Calibri" w:cs="Batang"/>
          <w:lang w:val="en-GB" w:eastAsia="ko-KR"/>
        </w:rPr>
        <w:t xml:space="preserve">child </w:t>
      </w:r>
      <w:r w:rsidR="00B714C9">
        <w:rPr>
          <w:rFonts w:ascii="Calibri" w:eastAsia="Malgun Gothic" w:hAnsi="Calibri" w:cs="Batang"/>
          <w:lang w:val="en-GB" w:eastAsia="ko-KR"/>
        </w:rPr>
        <w:t xml:space="preserve">IAB nodes for every </w:t>
      </w:r>
      <w:r w:rsidR="0075669D">
        <w:rPr>
          <w:rFonts w:ascii="Calibri" w:eastAsia="Malgun Gothic" w:hAnsi="Calibri" w:cs="Batang"/>
          <w:lang w:val="en-GB" w:eastAsia="ko-KR"/>
        </w:rPr>
        <w:t xml:space="preserve">parent </w:t>
      </w:r>
      <w:r w:rsidR="00B714C9">
        <w:rPr>
          <w:rFonts w:ascii="Calibri" w:eastAsia="Malgun Gothic" w:hAnsi="Calibri" w:cs="Batang"/>
          <w:lang w:val="en-GB" w:eastAsia="ko-KR"/>
        </w:rPr>
        <w:t>IAB node in a 5</w:t>
      </w:r>
      <w:r w:rsidR="0075669D">
        <w:rPr>
          <w:rFonts w:ascii="Calibri" w:eastAsia="Malgun Gothic" w:hAnsi="Calibri" w:cs="Batang"/>
          <w:lang w:val="en-GB" w:eastAsia="ko-KR"/>
        </w:rPr>
        <w:t>-</w:t>
      </w:r>
      <w:r w:rsidR="00B714C9">
        <w:rPr>
          <w:rFonts w:ascii="Calibri" w:eastAsia="Malgun Gothic" w:hAnsi="Calibri" w:cs="Batang"/>
          <w:lang w:val="en-GB" w:eastAsia="ko-KR"/>
        </w:rPr>
        <w:t xml:space="preserve">hop IAB network, that </w:t>
      </w:r>
      <w:r w:rsidR="00094DA3">
        <w:rPr>
          <w:rFonts w:ascii="Calibri" w:eastAsia="Malgun Gothic" w:hAnsi="Calibri" w:cs="Batang"/>
          <w:lang w:val="en-GB" w:eastAsia="ko-KR"/>
        </w:rPr>
        <w:t>results in the need for the donor DU to support</w:t>
      </w:r>
      <w:r w:rsidR="00B714C9">
        <w:rPr>
          <w:rFonts w:ascii="Calibri" w:eastAsia="Malgun Gothic" w:hAnsi="Calibri" w:cs="Batang"/>
          <w:lang w:val="en-GB" w:eastAsia="ko-KR"/>
        </w:rPr>
        <w:t xml:space="preserve"> </w:t>
      </w:r>
      <w:r w:rsidR="00E54CC6">
        <w:rPr>
          <w:rFonts w:ascii="Calibri" w:eastAsia="Malgun Gothic" w:hAnsi="Calibri" w:cs="Batang"/>
          <w:lang w:val="en-GB" w:eastAsia="ko-KR"/>
        </w:rPr>
        <w:t xml:space="preserve">364 </w:t>
      </w:r>
      <w:r w:rsidR="00B714C9">
        <w:rPr>
          <w:rFonts w:ascii="Calibri" w:eastAsia="Malgun Gothic" w:hAnsi="Calibri" w:cs="Batang"/>
          <w:lang w:val="en-GB" w:eastAsia="ko-KR"/>
        </w:rPr>
        <w:t xml:space="preserve">IAB nodes (3 child case) or </w:t>
      </w:r>
      <w:r w:rsidR="00E54CC6">
        <w:rPr>
          <w:rFonts w:ascii="Calibri" w:eastAsia="Malgun Gothic" w:hAnsi="Calibri" w:cs="Batang"/>
          <w:lang w:val="en-GB" w:eastAsia="ko-KR"/>
        </w:rPr>
        <w:t xml:space="preserve">1365 </w:t>
      </w:r>
      <w:r w:rsidR="00B714C9">
        <w:rPr>
          <w:rFonts w:ascii="Calibri" w:eastAsia="Malgun Gothic" w:hAnsi="Calibri" w:cs="Batang"/>
          <w:lang w:val="en-GB" w:eastAsia="ko-KR"/>
        </w:rPr>
        <w:t xml:space="preserve">IAB nodes (4 child case). </w:t>
      </w:r>
      <w:r w:rsidR="00094DA3">
        <w:rPr>
          <w:rFonts w:ascii="Calibri" w:eastAsia="Malgun Gothic" w:hAnsi="Calibri" w:cs="Batang"/>
          <w:lang w:val="en-GB" w:eastAsia="ko-KR"/>
        </w:rPr>
        <w:t>These numbers are</w:t>
      </w:r>
      <w:r w:rsidR="00B714C9">
        <w:rPr>
          <w:rFonts w:ascii="Calibri" w:eastAsia="Malgun Gothic" w:hAnsi="Calibri" w:cs="Batang"/>
          <w:lang w:val="en-GB" w:eastAsia="ko-KR"/>
        </w:rPr>
        <w:t xml:space="preserve"> </w:t>
      </w:r>
      <w:r w:rsidR="00E54CC6">
        <w:rPr>
          <w:rFonts w:ascii="Calibri" w:eastAsia="Malgun Gothic" w:hAnsi="Calibri" w:cs="Batang"/>
          <w:lang w:val="en-GB" w:eastAsia="ko-KR"/>
        </w:rPr>
        <w:t xml:space="preserve">more than </w:t>
      </w:r>
      <w:r w:rsidR="00B714C9">
        <w:rPr>
          <w:rFonts w:ascii="Calibri" w:eastAsia="Malgun Gothic" w:hAnsi="Calibri" w:cs="Batang"/>
          <w:lang w:val="en-GB" w:eastAsia="ko-KR"/>
        </w:rPr>
        <w:t xml:space="preserve">an order of magnitude lower than the 32,768 IAB nodes </w:t>
      </w:r>
      <w:r w:rsidR="00094DA3">
        <w:rPr>
          <w:rFonts w:ascii="Calibri" w:eastAsia="Malgun Gothic" w:hAnsi="Calibri" w:cs="Batang"/>
          <w:lang w:val="en-GB" w:eastAsia="ko-KR"/>
        </w:rPr>
        <w:t>that can be supported with the 20-bit IPv6 flow label assuming</w:t>
      </w:r>
      <w:r w:rsidR="001901AC">
        <w:rPr>
          <w:rFonts w:ascii="Calibri" w:eastAsia="Malgun Gothic" w:hAnsi="Calibri" w:cs="Batang"/>
          <w:lang w:val="en-GB" w:eastAsia="ko-KR"/>
        </w:rPr>
        <w:t xml:space="preserve"> 32 bearers for every MT in the IAB</w:t>
      </w:r>
      <w:r w:rsidR="00094DA3">
        <w:rPr>
          <w:rFonts w:ascii="Calibri" w:eastAsia="Malgun Gothic" w:hAnsi="Calibri" w:cs="Batang"/>
          <w:lang w:val="en-GB" w:eastAsia="ko-KR"/>
        </w:rPr>
        <w:t>.</w:t>
      </w:r>
    </w:p>
    <w:p w:rsidR="00001BF8" w:rsidRDefault="00094DA3" w:rsidP="004A7002">
      <w:pPr>
        <w:rPr>
          <w:rFonts w:ascii="Calibri" w:eastAsia="Malgun Gothic" w:hAnsi="Calibri" w:cs="Batang"/>
          <w:lang w:val="en-GB" w:eastAsia="ko-KR"/>
        </w:rPr>
      </w:pPr>
      <w:r>
        <w:rPr>
          <w:rFonts w:ascii="Calibri" w:eastAsia="Malgun Gothic" w:hAnsi="Calibri" w:cs="Batang"/>
          <w:lang w:val="en-GB" w:eastAsia="ko-KR"/>
        </w:rPr>
        <w:t>Even i</w:t>
      </w:r>
      <w:r w:rsidR="001901AC">
        <w:rPr>
          <w:rFonts w:ascii="Calibri" w:eastAsia="Malgun Gothic" w:hAnsi="Calibri" w:cs="Batang"/>
          <w:lang w:val="en-GB" w:eastAsia="ko-KR"/>
        </w:rPr>
        <w:t>f we take a very extreme and impractical example of an IAB network consisting of</w:t>
      </w:r>
      <w:r w:rsidR="00D55C24">
        <w:rPr>
          <w:rFonts w:ascii="Calibri" w:eastAsia="Malgun Gothic" w:hAnsi="Calibri" w:cs="Batang"/>
          <w:lang w:val="en-GB" w:eastAsia="ko-KR"/>
        </w:rPr>
        <w:t xml:space="preserve"> </w:t>
      </w:r>
      <w:r w:rsidR="00E54CC6">
        <w:rPr>
          <w:rFonts w:ascii="Calibri" w:eastAsia="Malgun Gothic" w:hAnsi="Calibri" w:cs="Batang"/>
          <w:lang w:val="en-GB" w:eastAsia="ko-KR"/>
        </w:rPr>
        <w:t xml:space="preserve">9 </w:t>
      </w:r>
      <w:r w:rsidR="00D55C24">
        <w:rPr>
          <w:rFonts w:ascii="Calibri" w:eastAsia="Malgun Gothic" w:hAnsi="Calibri" w:cs="Batang"/>
          <w:lang w:val="en-GB" w:eastAsia="ko-KR"/>
        </w:rPr>
        <w:t xml:space="preserve">hops </w:t>
      </w:r>
      <w:r w:rsidR="001901AC">
        <w:rPr>
          <w:rFonts w:ascii="Calibri" w:eastAsia="Malgun Gothic" w:hAnsi="Calibri" w:cs="Batang"/>
          <w:lang w:val="en-GB" w:eastAsia="ko-KR"/>
        </w:rPr>
        <w:t>with every single</w:t>
      </w:r>
      <w:r w:rsidR="00D55C24">
        <w:rPr>
          <w:rFonts w:ascii="Calibri" w:eastAsia="Malgun Gothic" w:hAnsi="Calibri" w:cs="Batang"/>
          <w:lang w:val="en-GB" w:eastAsia="ko-KR"/>
        </w:rPr>
        <w:t xml:space="preserve"> </w:t>
      </w:r>
      <w:r w:rsidR="0075669D">
        <w:rPr>
          <w:rFonts w:ascii="Calibri" w:eastAsia="Malgun Gothic" w:hAnsi="Calibri" w:cs="Batang"/>
          <w:lang w:val="en-GB" w:eastAsia="ko-KR"/>
        </w:rPr>
        <w:t xml:space="preserve">parent </w:t>
      </w:r>
      <w:r w:rsidR="00D55C24">
        <w:rPr>
          <w:rFonts w:ascii="Calibri" w:eastAsia="Malgun Gothic" w:hAnsi="Calibri" w:cs="Batang"/>
          <w:lang w:val="en-GB" w:eastAsia="ko-KR"/>
        </w:rPr>
        <w:t xml:space="preserve">IAB node </w:t>
      </w:r>
      <w:r w:rsidR="001901AC">
        <w:rPr>
          <w:rFonts w:ascii="Calibri" w:eastAsia="Malgun Gothic" w:hAnsi="Calibri" w:cs="Batang"/>
          <w:lang w:val="en-GB" w:eastAsia="ko-KR"/>
        </w:rPr>
        <w:t>supporting</w:t>
      </w:r>
      <w:r w:rsidR="00D55C24">
        <w:rPr>
          <w:rFonts w:ascii="Calibri" w:eastAsia="Malgun Gothic" w:hAnsi="Calibri" w:cs="Batang"/>
          <w:lang w:val="en-GB" w:eastAsia="ko-KR"/>
        </w:rPr>
        <w:t xml:space="preserve"> </w:t>
      </w:r>
      <w:r w:rsidR="00B714C9">
        <w:rPr>
          <w:rFonts w:ascii="Calibri" w:eastAsia="Malgun Gothic" w:hAnsi="Calibri" w:cs="Batang"/>
          <w:lang w:val="en-GB" w:eastAsia="ko-KR"/>
        </w:rPr>
        <w:t>3</w:t>
      </w:r>
      <w:r w:rsidR="00D55C24">
        <w:rPr>
          <w:rFonts w:ascii="Calibri" w:eastAsia="Malgun Gothic" w:hAnsi="Calibri" w:cs="Batang"/>
          <w:lang w:val="en-GB" w:eastAsia="ko-KR"/>
        </w:rPr>
        <w:t xml:space="preserve"> child </w:t>
      </w:r>
      <w:r w:rsidR="0075669D">
        <w:rPr>
          <w:rFonts w:ascii="Calibri" w:eastAsia="Malgun Gothic" w:hAnsi="Calibri" w:cs="Batang"/>
          <w:lang w:val="en-GB" w:eastAsia="ko-KR"/>
        </w:rPr>
        <w:t xml:space="preserve">IAB </w:t>
      </w:r>
      <w:r w:rsidR="00D55C24">
        <w:rPr>
          <w:rFonts w:ascii="Calibri" w:eastAsia="Malgun Gothic" w:hAnsi="Calibri" w:cs="Batang"/>
          <w:lang w:val="en-GB" w:eastAsia="ko-KR"/>
        </w:rPr>
        <w:t xml:space="preserve">nodes, that would still result in a topology consisting of </w:t>
      </w:r>
      <w:r w:rsidR="001901AC">
        <w:rPr>
          <w:rFonts w:ascii="Calibri" w:eastAsia="Malgun Gothic" w:hAnsi="Calibri" w:cs="Batang"/>
          <w:lang w:val="en-GB" w:eastAsia="ko-KR"/>
        </w:rPr>
        <w:t>29,524</w:t>
      </w:r>
      <w:r w:rsidR="00B714C9">
        <w:rPr>
          <w:rFonts w:ascii="Calibri" w:eastAsia="Malgun Gothic" w:hAnsi="Calibri" w:cs="Batang"/>
          <w:lang w:val="en-GB" w:eastAsia="ko-KR"/>
        </w:rPr>
        <w:t xml:space="preserve"> IAB nodes</w:t>
      </w:r>
      <w:r w:rsidR="001901AC">
        <w:rPr>
          <w:rFonts w:ascii="Calibri" w:eastAsia="Malgun Gothic" w:hAnsi="Calibri" w:cs="Batang"/>
          <w:lang w:val="en-GB" w:eastAsia="ko-KR"/>
        </w:rPr>
        <w:t xml:space="preserve"> with every MT in the network supporting 32 bearers. So, it is safe to conclude that the </w:t>
      </w:r>
      <w:bookmarkStart w:id="3" w:name="_Hlk5712181"/>
      <w:r w:rsidR="001901AC">
        <w:rPr>
          <w:rFonts w:ascii="Calibri" w:eastAsia="Malgun Gothic" w:hAnsi="Calibri" w:cs="Batang"/>
          <w:lang w:val="en-GB" w:eastAsia="ko-KR"/>
        </w:rPr>
        <w:t xml:space="preserve">20-bit </w:t>
      </w:r>
      <w:r>
        <w:rPr>
          <w:rFonts w:ascii="Calibri" w:eastAsia="Malgun Gothic" w:hAnsi="Calibri" w:cs="Batang"/>
          <w:lang w:val="en-GB" w:eastAsia="ko-KR"/>
        </w:rPr>
        <w:t xml:space="preserve">IPv6 </w:t>
      </w:r>
      <w:r w:rsidR="001901AC">
        <w:rPr>
          <w:rFonts w:ascii="Calibri" w:eastAsia="Malgun Gothic" w:hAnsi="Calibri" w:cs="Batang"/>
          <w:lang w:val="en-GB" w:eastAsia="ko-KR"/>
        </w:rPr>
        <w:t xml:space="preserve">flow label field provides sufficient bearer identification space for 1:1 mapping to support IAB topologies in even the most aggressive </w:t>
      </w:r>
      <w:r>
        <w:rPr>
          <w:rFonts w:ascii="Calibri" w:eastAsia="Malgun Gothic" w:hAnsi="Calibri" w:cs="Batang"/>
          <w:lang w:val="en-GB" w:eastAsia="ko-KR"/>
        </w:rPr>
        <w:t xml:space="preserve">IAB </w:t>
      </w:r>
      <w:r w:rsidR="001901AC">
        <w:rPr>
          <w:rFonts w:ascii="Calibri" w:eastAsia="Malgun Gothic" w:hAnsi="Calibri" w:cs="Batang"/>
          <w:lang w:val="en-GB" w:eastAsia="ko-KR"/>
        </w:rPr>
        <w:t>deployment scenarios</w:t>
      </w:r>
      <w:bookmarkEnd w:id="3"/>
      <w:r w:rsidR="001901AC">
        <w:rPr>
          <w:rFonts w:ascii="Calibri" w:eastAsia="Malgun Gothic" w:hAnsi="Calibri" w:cs="Batang"/>
          <w:lang w:val="en-GB" w:eastAsia="ko-KR"/>
        </w:rPr>
        <w:t>.</w:t>
      </w:r>
    </w:p>
    <w:p w:rsidR="004B376A" w:rsidRPr="004B376A" w:rsidRDefault="004B376A" w:rsidP="004A7002">
      <w:pPr>
        <w:rPr>
          <w:rFonts w:ascii="Calibri" w:eastAsia="Malgun Gothic" w:hAnsi="Calibri" w:cs="Batang"/>
          <w:lang w:val="en-GB" w:eastAsia="ko-KR"/>
        </w:rPr>
      </w:pPr>
      <w:r>
        <w:rPr>
          <w:rFonts w:ascii="Calibri" w:eastAsia="Malgun Gothic" w:hAnsi="Calibri" w:cs="Batang"/>
          <w:lang w:val="en-GB" w:eastAsia="ko-KR"/>
        </w:rPr>
        <w:t xml:space="preserve">Note that the above analysis assumes that the 20-bit range of flow labels </w:t>
      </w:r>
      <w:r w:rsidR="00F50B2E">
        <w:rPr>
          <w:rFonts w:ascii="Calibri" w:eastAsia="Malgun Gothic" w:hAnsi="Calibri" w:cs="Batang"/>
          <w:lang w:val="en-GB" w:eastAsia="ko-KR"/>
        </w:rPr>
        <w:t>is</w:t>
      </w:r>
      <w:r>
        <w:rPr>
          <w:rFonts w:ascii="Calibri" w:eastAsia="Malgun Gothic" w:hAnsi="Calibri" w:cs="Batang"/>
          <w:lang w:val="en-GB" w:eastAsia="ko-KR"/>
        </w:rPr>
        <w:t xml:space="preserve"> unique per IAB-donor DU. In practice, the IAB node’s unique IP address can also be used as an additional differentiator. So</w:t>
      </w:r>
      <w:r w:rsidR="00F50B2E">
        <w:rPr>
          <w:rFonts w:ascii="Calibri" w:eastAsia="Malgun Gothic" w:hAnsi="Calibri" w:cs="Batang"/>
          <w:lang w:val="en-GB" w:eastAsia="ko-KR"/>
        </w:rPr>
        <w:t>,</w:t>
      </w:r>
      <w:r>
        <w:rPr>
          <w:rFonts w:ascii="Calibri" w:eastAsia="Malgun Gothic" w:hAnsi="Calibri" w:cs="Batang"/>
          <w:lang w:val="en-GB" w:eastAsia="ko-KR"/>
        </w:rPr>
        <w:t xml:space="preserve"> the 20-bit range of flow labels </w:t>
      </w:r>
      <w:r w:rsidR="00F50B2E">
        <w:rPr>
          <w:rFonts w:ascii="Calibri" w:eastAsia="Malgun Gothic" w:hAnsi="Calibri" w:cs="Batang"/>
          <w:lang w:val="en-GB" w:eastAsia="ko-KR"/>
        </w:rPr>
        <w:t xml:space="preserve">may need to be unique only on a per IAB-node basis. This makes it even more clear that </w:t>
      </w:r>
      <w:r w:rsidR="00D21FF6">
        <w:rPr>
          <w:rFonts w:ascii="Calibri" w:eastAsia="Malgun Gothic" w:hAnsi="Calibri" w:cs="Batang"/>
          <w:lang w:val="en-GB" w:eastAsia="ko-KR"/>
        </w:rPr>
        <w:t>a</w:t>
      </w:r>
      <w:r w:rsidR="00F50B2E">
        <w:rPr>
          <w:rFonts w:ascii="Calibri" w:eastAsia="Malgun Gothic" w:hAnsi="Calibri" w:cs="Batang"/>
          <w:lang w:val="en-GB" w:eastAsia="ko-KR"/>
        </w:rPr>
        <w:t xml:space="preserve"> 20-bit flow label field is more than enough to provide sufficient bearer identification space for 1:1 mapping for IAB.</w:t>
      </w:r>
    </w:p>
    <w:p w:rsidR="00001BF8" w:rsidRPr="003E02B9" w:rsidRDefault="001901AC" w:rsidP="004A7002">
      <w:pPr>
        <w:rPr>
          <w:rFonts w:ascii="Calibri" w:eastAsia="Malgun Gothic" w:hAnsi="Calibri" w:cs="Batang"/>
          <w:b/>
          <w:lang w:val="en-GB" w:eastAsia="ko-KR"/>
        </w:rPr>
      </w:pPr>
      <w:r w:rsidRPr="00094DA3">
        <w:rPr>
          <w:rFonts w:ascii="Calibri" w:eastAsia="Malgun Gothic" w:hAnsi="Calibri" w:cs="Batang"/>
          <w:b/>
          <w:lang w:val="en-GB" w:eastAsia="ko-KR"/>
        </w:rPr>
        <w:t xml:space="preserve">Observation 1: </w:t>
      </w:r>
      <w:r w:rsidR="00094DA3">
        <w:rPr>
          <w:rFonts w:ascii="Calibri" w:eastAsia="Malgun Gothic" w:hAnsi="Calibri" w:cs="Batang"/>
          <w:b/>
          <w:lang w:val="en-GB" w:eastAsia="ko-KR"/>
        </w:rPr>
        <w:t xml:space="preserve">The </w:t>
      </w:r>
      <w:r w:rsidR="00094DA3" w:rsidRPr="00094DA3">
        <w:rPr>
          <w:rFonts w:ascii="Calibri" w:eastAsia="Malgun Gothic" w:hAnsi="Calibri" w:cs="Batang"/>
          <w:b/>
          <w:lang w:val="en-GB" w:eastAsia="ko-KR"/>
        </w:rPr>
        <w:t xml:space="preserve">20-bit IPv6 flow label field provides sufficient bearer identification space for 1:1 mapping to support IAB topologies in even the most aggressive </w:t>
      </w:r>
      <w:r w:rsidR="00094DA3">
        <w:rPr>
          <w:rFonts w:ascii="Calibri" w:eastAsia="Malgun Gothic" w:hAnsi="Calibri" w:cs="Batang"/>
          <w:b/>
          <w:lang w:val="en-GB" w:eastAsia="ko-KR"/>
        </w:rPr>
        <w:t xml:space="preserve">IAB </w:t>
      </w:r>
      <w:r w:rsidR="00094DA3" w:rsidRPr="00094DA3">
        <w:rPr>
          <w:rFonts w:ascii="Calibri" w:eastAsia="Malgun Gothic" w:hAnsi="Calibri" w:cs="Batang"/>
          <w:b/>
          <w:lang w:val="en-GB" w:eastAsia="ko-KR"/>
        </w:rPr>
        <w:t>deployment scenarios</w:t>
      </w:r>
      <w:r w:rsidR="00094DA3">
        <w:rPr>
          <w:rFonts w:ascii="Calibri" w:eastAsia="Malgun Gothic" w:hAnsi="Calibri" w:cs="Batang"/>
          <w:b/>
          <w:lang w:val="en-GB" w:eastAsia="ko-KR"/>
        </w:rPr>
        <w:t>.</w:t>
      </w:r>
    </w:p>
    <w:p w:rsidR="003E02B9" w:rsidRDefault="003E02B9" w:rsidP="004A7002">
      <w:pPr>
        <w:rPr>
          <w:rFonts w:ascii="Calibri" w:eastAsia="Malgun Gothic" w:hAnsi="Calibri" w:cs="Batang"/>
          <w:b/>
          <w:u w:val="single"/>
          <w:lang w:val="en-GB" w:eastAsia="ko-KR"/>
        </w:rPr>
      </w:pPr>
    </w:p>
    <w:p w:rsidR="00094DA3" w:rsidRPr="00094DA3" w:rsidRDefault="00094DA3" w:rsidP="004A7002">
      <w:pPr>
        <w:rPr>
          <w:rFonts w:ascii="Calibri" w:eastAsia="Malgun Gothic" w:hAnsi="Calibri" w:cs="Batang"/>
          <w:b/>
          <w:u w:val="single"/>
          <w:lang w:val="en-GB" w:eastAsia="ko-KR"/>
        </w:rPr>
      </w:pPr>
      <w:r>
        <w:rPr>
          <w:rFonts w:ascii="Calibri" w:eastAsia="Malgun Gothic" w:hAnsi="Calibri" w:cs="Batang"/>
          <w:b/>
          <w:u w:val="single"/>
          <w:lang w:val="en-GB" w:eastAsia="ko-KR"/>
        </w:rPr>
        <w:t>Customer experience</w:t>
      </w:r>
    </w:p>
    <w:p w:rsidR="00094DA3" w:rsidRDefault="00094DA3" w:rsidP="004A7002">
      <w:pPr>
        <w:rPr>
          <w:rFonts w:ascii="Calibri" w:eastAsia="Malgun Gothic" w:hAnsi="Calibri" w:cs="Batang"/>
          <w:lang w:val="en-GB" w:eastAsia="ko-KR"/>
        </w:rPr>
      </w:pPr>
      <w:r>
        <w:rPr>
          <w:rFonts w:ascii="Calibri" w:eastAsia="Malgun Gothic" w:hAnsi="Calibri" w:cs="Batang"/>
          <w:lang w:val="en-GB" w:eastAsia="ko-KR"/>
        </w:rPr>
        <w:t xml:space="preserve">Another consideration when evaluating the number of IAB nodes and bearers that can/should be supported by the IAB-donor DU is the practical throughput performance experienced by customers. </w:t>
      </w:r>
      <w:r w:rsidR="001356D6">
        <w:rPr>
          <w:rFonts w:ascii="Calibri" w:eastAsia="Malgun Gothic" w:hAnsi="Calibri" w:cs="Batang"/>
          <w:lang w:val="en-GB" w:eastAsia="ko-KR"/>
        </w:rPr>
        <w:t>It may be fair to assume t</w:t>
      </w:r>
      <w:r>
        <w:rPr>
          <w:rFonts w:ascii="Calibri" w:eastAsia="Malgun Gothic" w:hAnsi="Calibri" w:cs="Batang"/>
          <w:lang w:val="en-GB" w:eastAsia="ko-KR"/>
        </w:rPr>
        <w:t>hat the IAB-donor DU is able to support a very large throughput</w:t>
      </w:r>
      <w:r w:rsidR="0058506A">
        <w:rPr>
          <w:rFonts w:ascii="Calibri" w:eastAsia="Malgun Gothic" w:hAnsi="Calibri" w:cs="Batang"/>
          <w:lang w:val="en-GB" w:eastAsia="ko-KR"/>
        </w:rPr>
        <w:t xml:space="preserve"> pipe to be shared </w:t>
      </w:r>
      <w:r w:rsidR="001356D6">
        <w:rPr>
          <w:rFonts w:ascii="Calibri" w:eastAsia="Malgun Gothic" w:hAnsi="Calibri" w:cs="Batang"/>
          <w:lang w:val="en-GB" w:eastAsia="ko-KR"/>
        </w:rPr>
        <w:t xml:space="preserve">across all the active bearers </w:t>
      </w:r>
      <w:r w:rsidR="0075669D">
        <w:rPr>
          <w:rFonts w:ascii="Calibri" w:eastAsia="Malgun Gothic" w:hAnsi="Calibri" w:cs="Batang"/>
          <w:lang w:val="en-GB" w:eastAsia="ko-KR"/>
        </w:rPr>
        <w:t>i</w:t>
      </w:r>
      <w:r w:rsidR="001356D6">
        <w:rPr>
          <w:rFonts w:ascii="Calibri" w:eastAsia="Malgun Gothic" w:hAnsi="Calibri" w:cs="Batang"/>
          <w:lang w:val="en-GB" w:eastAsia="ko-KR"/>
        </w:rPr>
        <w:t>n the underlying IAB topology. If we assume that the IAB-donor DU can support a maximum capacity of 20 Gbps, and that only 10% of the allocated 1,048,576 bearers (corresponding to 20-bit IPv6 flow label field) are actively in data transactions, each bearer would achieve a throughput performance of a meagre 191 kbps. In practice, the actual performance with such a large number of bearers may be worse</w:t>
      </w:r>
      <w:r w:rsidR="00957172">
        <w:rPr>
          <w:rFonts w:ascii="Calibri" w:eastAsia="Malgun Gothic" w:hAnsi="Calibri" w:cs="Batang"/>
          <w:lang w:val="en-GB" w:eastAsia="ko-KR"/>
        </w:rPr>
        <w:t xml:space="preserve">, </w:t>
      </w:r>
      <w:r w:rsidR="001356D6">
        <w:rPr>
          <w:rFonts w:ascii="Calibri" w:eastAsia="Malgun Gothic" w:hAnsi="Calibri" w:cs="Batang"/>
          <w:lang w:val="en-GB" w:eastAsia="ko-KR"/>
        </w:rPr>
        <w:t>because th</w:t>
      </w:r>
      <w:r w:rsidR="00957172">
        <w:rPr>
          <w:rFonts w:ascii="Calibri" w:eastAsia="Malgun Gothic" w:hAnsi="Calibri" w:cs="Batang"/>
          <w:lang w:val="en-GB" w:eastAsia="ko-KR"/>
        </w:rPr>
        <w:t>is back-of-the-envelope</w:t>
      </w:r>
      <w:r w:rsidR="001356D6">
        <w:rPr>
          <w:rFonts w:ascii="Calibri" w:eastAsia="Malgun Gothic" w:hAnsi="Calibri" w:cs="Batang"/>
          <w:lang w:val="en-GB" w:eastAsia="ko-KR"/>
        </w:rPr>
        <w:t xml:space="preserve"> estimate does not account for the effect of multi-hop latency on throughput performance. Hence, from a practical customer experience perspective an IAB network operator would n</w:t>
      </w:r>
      <w:r w:rsidR="00957172">
        <w:rPr>
          <w:rFonts w:ascii="Calibri" w:eastAsia="Malgun Gothic" w:hAnsi="Calibri" w:cs="Batang"/>
          <w:lang w:val="en-GB" w:eastAsia="ko-KR"/>
        </w:rPr>
        <w:t>ever</w:t>
      </w:r>
      <w:r w:rsidR="001356D6">
        <w:rPr>
          <w:rFonts w:ascii="Calibri" w:eastAsia="Malgun Gothic" w:hAnsi="Calibri" w:cs="Batang"/>
          <w:lang w:val="en-GB" w:eastAsia="ko-KR"/>
        </w:rPr>
        <w:t xml:space="preserve"> deploy the IAB network to fully utilize the </w:t>
      </w:r>
      <w:r w:rsidR="003E02B9">
        <w:rPr>
          <w:rFonts w:ascii="Calibri" w:eastAsia="Malgun Gothic" w:hAnsi="Calibri" w:cs="Batang"/>
          <w:lang w:val="en-GB" w:eastAsia="ko-KR"/>
        </w:rPr>
        <w:t xml:space="preserve">range of bearers supported by the 20-bit IPv6 flow label field. </w:t>
      </w:r>
    </w:p>
    <w:p w:rsidR="003E02B9" w:rsidRPr="003E02B9" w:rsidRDefault="003E02B9" w:rsidP="004A7002">
      <w:pPr>
        <w:rPr>
          <w:rFonts w:ascii="Calibri" w:eastAsia="Malgun Gothic" w:hAnsi="Calibri" w:cs="Batang"/>
          <w:b/>
          <w:lang w:val="en-GB" w:eastAsia="ko-KR"/>
        </w:rPr>
      </w:pPr>
      <w:r w:rsidRPr="003E02B9">
        <w:rPr>
          <w:rFonts w:ascii="Calibri" w:eastAsia="Malgun Gothic" w:hAnsi="Calibri" w:cs="Batang"/>
          <w:b/>
          <w:lang w:val="en-GB" w:eastAsia="ko-KR"/>
        </w:rPr>
        <w:t>Observation 2: From a customer throughput experience perspective an IAB network operator would n</w:t>
      </w:r>
      <w:r w:rsidR="00957172">
        <w:rPr>
          <w:rFonts w:ascii="Calibri" w:eastAsia="Malgun Gothic" w:hAnsi="Calibri" w:cs="Batang"/>
          <w:b/>
          <w:lang w:val="en-GB" w:eastAsia="ko-KR"/>
        </w:rPr>
        <w:t>ever</w:t>
      </w:r>
      <w:r w:rsidRPr="003E02B9">
        <w:rPr>
          <w:rFonts w:ascii="Calibri" w:eastAsia="Malgun Gothic" w:hAnsi="Calibri" w:cs="Batang"/>
          <w:b/>
          <w:lang w:val="en-GB" w:eastAsia="ko-KR"/>
        </w:rPr>
        <w:t xml:space="preserve"> deploy topologies that fully utilize the range of bearers supported by the 20-bit IPv6 flow label field. Hence, the 20-bit IPv6 flow label field is sufficient. </w:t>
      </w:r>
    </w:p>
    <w:p w:rsidR="003E02B9" w:rsidRDefault="003E02B9" w:rsidP="004A7002">
      <w:pPr>
        <w:rPr>
          <w:rFonts w:ascii="Calibri" w:eastAsia="Malgun Gothic" w:hAnsi="Calibri" w:cs="Batang"/>
          <w:lang w:val="en-GB" w:eastAsia="ko-KR"/>
        </w:rPr>
      </w:pPr>
    </w:p>
    <w:p w:rsidR="003E02B9" w:rsidRPr="003E02B9" w:rsidRDefault="00F62C88" w:rsidP="004A7002">
      <w:pPr>
        <w:rPr>
          <w:rFonts w:ascii="Calibri" w:eastAsia="Malgun Gothic" w:hAnsi="Calibri" w:cs="Batang"/>
          <w:b/>
          <w:u w:val="single"/>
          <w:lang w:val="en-GB" w:eastAsia="ko-KR"/>
        </w:rPr>
      </w:pPr>
      <w:r>
        <w:rPr>
          <w:rFonts w:ascii="Calibri" w:eastAsia="Malgun Gothic" w:hAnsi="Calibri" w:cs="Batang"/>
          <w:b/>
          <w:u w:val="single"/>
          <w:lang w:val="en-GB" w:eastAsia="ko-KR"/>
        </w:rPr>
        <w:t xml:space="preserve">Reason for </w:t>
      </w:r>
      <w:r w:rsidR="003E02B9" w:rsidRPr="003E02B9">
        <w:rPr>
          <w:rFonts w:ascii="Calibri" w:eastAsia="Malgun Gothic" w:hAnsi="Calibri" w:cs="Batang"/>
          <w:b/>
          <w:u w:val="single"/>
          <w:lang w:val="en-GB" w:eastAsia="ko-KR"/>
        </w:rPr>
        <w:t>1:1 bearer mapping</w:t>
      </w:r>
    </w:p>
    <w:p w:rsidR="003E02B9" w:rsidRDefault="003E02B9" w:rsidP="004A7002">
      <w:pPr>
        <w:rPr>
          <w:rFonts w:ascii="Calibri" w:eastAsia="Malgun Gothic" w:hAnsi="Calibri" w:cs="Batang"/>
          <w:lang w:val="en-GB" w:eastAsia="ko-KR"/>
        </w:rPr>
      </w:pPr>
      <w:r>
        <w:rPr>
          <w:rFonts w:ascii="Calibri" w:eastAsia="Malgun Gothic" w:hAnsi="Calibri" w:cs="Batang"/>
          <w:lang w:val="en-GB" w:eastAsia="ko-KR"/>
        </w:rPr>
        <w:t>IAB supports two types of bearer mappings between UE bearers and backhaul RLC channels: N:1 and 1:1. The main reason for supporting 1:1 bearer mapping is to be able to support fine-grained QoS control on the performance of bearers. Fine-grained QoS control is required when the performance achieved by bearers needs to meet certain minimum throughput or latency constraints. The idea of supporting a very large number bearers (&gt;1,048,576) in the IAB topology under the IAB-donor DU is fundamentally at odds with the purpose</w:t>
      </w:r>
      <w:r w:rsidR="005C55D3">
        <w:rPr>
          <w:rFonts w:ascii="Calibri" w:eastAsia="Malgun Gothic" w:hAnsi="Calibri" w:cs="Batang"/>
          <w:lang w:val="en-GB" w:eastAsia="ko-KR"/>
        </w:rPr>
        <w:t xml:space="preserve"> of</w:t>
      </w:r>
      <w:r>
        <w:rPr>
          <w:rFonts w:ascii="Calibri" w:eastAsia="Malgun Gothic" w:hAnsi="Calibri" w:cs="Batang"/>
          <w:lang w:val="en-GB" w:eastAsia="ko-KR"/>
        </w:rPr>
        <w:t xml:space="preserve"> supporting 1:1 bearer mapping. As described in the paragraph above Observation 2, when a very large number of bearers (and correspondingly a very large topology) is supported by the IAB-donor DU, it becomes very difficult to provide good QoS performance to the bearers. In fact, it is quite likely that when an IAB network operator wants to deliver tight QoS control using 1:1 bearer mapping </w:t>
      </w:r>
      <w:r w:rsidR="00477F9F">
        <w:rPr>
          <w:rFonts w:ascii="Calibri" w:eastAsia="Malgun Gothic" w:hAnsi="Calibri" w:cs="Batang"/>
          <w:lang w:val="en-GB" w:eastAsia="ko-KR"/>
        </w:rPr>
        <w:t xml:space="preserve">they might consider limiting the depth of the network topology supported by the IAB-donor DU even more than the case when tight QoS control is not required. Hence, for 1:1 bearer mapping case with tight QoS control, 20-bit IPv6 flow label field is even more likely to be sufficient compared to a deployment scenario where tight QoS control is not required. </w:t>
      </w:r>
    </w:p>
    <w:p w:rsidR="003E02B9" w:rsidRPr="00477F9F" w:rsidRDefault="00477F9F" w:rsidP="004A7002">
      <w:pPr>
        <w:rPr>
          <w:rFonts w:ascii="Calibri" w:eastAsia="Malgun Gothic" w:hAnsi="Calibri" w:cs="Batang"/>
          <w:b/>
          <w:lang w:val="en-GB" w:eastAsia="ko-KR"/>
        </w:rPr>
      </w:pPr>
      <w:r w:rsidRPr="00477F9F">
        <w:rPr>
          <w:rFonts w:ascii="Calibri" w:eastAsia="Malgun Gothic" w:hAnsi="Calibri" w:cs="Batang"/>
          <w:b/>
          <w:lang w:val="en-GB" w:eastAsia="ko-KR"/>
        </w:rPr>
        <w:lastRenderedPageBreak/>
        <w:t>Observation 3: For 1:1 bearer mapping case with tight QoS control, 20-bit IPv6 flow label field is even more likely to be sufficient compared to a deployment scenario where tight QoS control is not required.</w:t>
      </w:r>
    </w:p>
    <w:p w:rsidR="00477F9F" w:rsidRDefault="00477F9F" w:rsidP="004A7002">
      <w:pPr>
        <w:rPr>
          <w:rFonts w:ascii="Calibri" w:eastAsia="Malgun Gothic" w:hAnsi="Calibri" w:cs="Batang"/>
          <w:lang w:val="en-GB" w:eastAsia="ko-KR"/>
        </w:rPr>
      </w:pPr>
      <w:r>
        <w:rPr>
          <w:rFonts w:ascii="Calibri" w:eastAsia="Malgun Gothic" w:hAnsi="Calibri" w:cs="Batang"/>
          <w:lang w:val="en-GB" w:eastAsia="ko-KR"/>
        </w:rPr>
        <w:t xml:space="preserve">Due to above observations and discussion, we strongly feel that from an operator’s perspective, the 20-bit IPv6 flow label field </w:t>
      </w:r>
      <w:r w:rsidR="000E7524">
        <w:rPr>
          <w:rFonts w:ascii="Calibri" w:eastAsia="Malgun Gothic" w:hAnsi="Calibri" w:cs="Batang"/>
          <w:lang w:val="en-GB" w:eastAsia="ko-KR"/>
        </w:rPr>
        <w:t xml:space="preserve">adopted by RAN3’s working assumption </w:t>
      </w:r>
      <w:r>
        <w:rPr>
          <w:rFonts w:ascii="Calibri" w:eastAsia="Malgun Gothic" w:hAnsi="Calibri" w:cs="Batang"/>
          <w:lang w:val="en-GB" w:eastAsia="ko-KR"/>
        </w:rPr>
        <w:t>provides sufficient space to support practical IAB deployment scenarios</w:t>
      </w:r>
      <w:r w:rsidR="000E7524">
        <w:rPr>
          <w:rFonts w:ascii="Calibri" w:eastAsia="Malgun Gothic" w:hAnsi="Calibri" w:cs="Batang"/>
          <w:lang w:val="en-GB" w:eastAsia="ko-KR"/>
        </w:rPr>
        <w:t>. W</w:t>
      </w:r>
      <w:r>
        <w:rPr>
          <w:rFonts w:ascii="Calibri" w:eastAsia="Malgun Gothic" w:hAnsi="Calibri" w:cs="Batang"/>
          <w:lang w:val="en-GB" w:eastAsia="ko-KR"/>
        </w:rPr>
        <w:t>e propose that RAN2 should confirm RAN3’s working assumption</w:t>
      </w:r>
      <w:r w:rsidR="000E7524">
        <w:rPr>
          <w:rFonts w:ascii="Calibri" w:eastAsia="Malgun Gothic" w:hAnsi="Calibri" w:cs="Batang"/>
          <w:lang w:val="en-GB" w:eastAsia="ko-KR"/>
        </w:rPr>
        <w:t xml:space="preserve"> to adopt IPv6 flow labels for 1:1 bearer mapping</w:t>
      </w:r>
      <w:r>
        <w:rPr>
          <w:rFonts w:ascii="Calibri" w:eastAsia="Malgun Gothic" w:hAnsi="Calibri" w:cs="Batang"/>
          <w:lang w:val="en-GB" w:eastAsia="ko-KR"/>
        </w:rPr>
        <w:t>.</w:t>
      </w:r>
    </w:p>
    <w:p w:rsidR="00477F9F" w:rsidRPr="00477F9F" w:rsidRDefault="00477F9F" w:rsidP="004A7002">
      <w:pPr>
        <w:rPr>
          <w:rFonts w:ascii="Calibri" w:eastAsia="Malgun Gothic" w:hAnsi="Calibri" w:cs="Batang"/>
          <w:b/>
          <w:lang w:val="en-GB" w:eastAsia="ko-KR"/>
        </w:rPr>
      </w:pPr>
      <w:r w:rsidRPr="00477F9F">
        <w:rPr>
          <w:rFonts w:ascii="Calibri" w:eastAsia="Malgun Gothic" w:hAnsi="Calibri" w:cs="Batang"/>
          <w:b/>
          <w:lang w:val="en-GB" w:eastAsia="ko-KR"/>
        </w:rPr>
        <w:t>Proposal 1: 20-bit IPv6 flow label field is expected to provide sufficient space to support practical IAB deployment scenarios, so RAN2 should confirm RAN3’s working assumption to adopt IPv6 flow label</w:t>
      </w:r>
      <w:r w:rsidR="000E7524">
        <w:rPr>
          <w:rFonts w:ascii="Calibri" w:eastAsia="Malgun Gothic" w:hAnsi="Calibri" w:cs="Batang"/>
          <w:b/>
          <w:lang w:val="en-GB" w:eastAsia="ko-KR"/>
        </w:rPr>
        <w:t>s</w:t>
      </w:r>
      <w:r w:rsidRPr="00477F9F">
        <w:rPr>
          <w:rFonts w:ascii="Calibri" w:eastAsia="Malgun Gothic" w:hAnsi="Calibri" w:cs="Batang"/>
          <w:b/>
          <w:lang w:val="en-GB" w:eastAsia="ko-KR"/>
        </w:rPr>
        <w:t xml:space="preserve"> for 1:1 bearer mapping.</w:t>
      </w:r>
    </w:p>
    <w:p w:rsidR="00C408C7" w:rsidRPr="004131D6" w:rsidRDefault="00C408C7" w:rsidP="004A7002">
      <w:pPr>
        <w:rPr>
          <w:rFonts w:ascii="Calibri" w:eastAsia="Malgun Gothic" w:hAnsi="Calibri" w:cs="Batang"/>
          <w:b/>
          <w:lang w:val="en-GB" w:eastAsia="ko-KR"/>
        </w:rPr>
      </w:pP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A7002" w:rsidRPr="001B2250" w:rsidRDefault="00477F9F" w:rsidP="004A7002">
      <w:pPr>
        <w:pStyle w:val="maintext"/>
        <w:ind w:firstLineChars="0" w:firstLine="0"/>
        <w:rPr>
          <w:rFonts w:ascii="Calibri" w:hAnsi="Calibri"/>
        </w:rPr>
      </w:pPr>
      <w:r>
        <w:rPr>
          <w:rFonts w:ascii="Calibri" w:hAnsi="Calibri"/>
        </w:rPr>
        <w:t>In this contribution we discussed the use of IPv6 flow label field for 1:1 bearer mapping</w:t>
      </w:r>
      <w:r w:rsidR="004A7002">
        <w:rPr>
          <w:rFonts w:ascii="Calibri" w:hAnsi="Calibri"/>
        </w:rPr>
        <w:t xml:space="preserve">. </w:t>
      </w:r>
      <w:r w:rsidR="00BB02D4">
        <w:rPr>
          <w:rFonts w:ascii="Calibri" w:hAnsi="Calibri"/>
        </w:rPr>
        <w:t xml:space="preserve">The following </w:t>
      </w:r>
      <w:r>
        <w:rPr>
          <w:rFonts w:ascii="Calibri" w:hAnsi="Calibri"/>
        </w:rPr>
        <w:t xml:space="preserve">observations and </w:t>
      </w:r>
      <w:r w:rsidR="00BB02D4">
        <w:rPr>
          <w:rFonts w:ascii="Calibri" w:hAnsi="Calibri"/>
        </w:rPr>
        <w:t>proposal w</w:t>
      </w:r>
      <w:r w:rsidR="00162B42">
        <w:rPr>
          <w:rFonts w:ascii="Calibri" w:hAnsi="Calibri"/>
        </w:rPr>
        <w:t>ere</w:t>
      </w:r>
      <w:r w:rsidR="00BB02D4">
        <w:rPr>
          <w:rFonts w:ascii="Calibri" w:hAnsi="Calibri"/>
        </w:rPr>
        <w:t xml:space="preserve"> made:</w:t>
      </w:r>
      <w:r w:rsidR="004A7002">
        <w:rPr>
          <w:rFonts w:ascii="Calibri" w:hAnsi="Calibri"/>
        </w:rPr>
        <w:t xml:space="preserve"> </w:t>
      </w:r>
    </w:p>
    <w:p w:rsidR="00477F9F" w:rsidRPr="003E02B9" w:rsidRDefault="00477F9F" w:rsidP="00477F9F">
      <w:pPr>
        <w:rPr>
          <w:rFonts w:ascii="Calibri" w:eastAsia="Malgun Gothic" w:hAnsi="Calibri" w:cs="Batang"/>
          <w:b/>
          <w:lang w:val="en-GB" w:eastAsia="ko-KR"/>
        </w:rPr>
      </w:pPr>
      <w:r w:rsidRPr="00094DA3">
        <w:rPr>
          <w:rFonts w:ascii="Calibri" w:eastAsia="Malgun Gothic" w:hAnsi="Calibri" w:cs="Batang"/>
          <w:b/>
          <w:lang w:val="en-GB" w:eastAsia="ko-KR"/>
        </w:rPr>
        <w:t xml:space="preserve">Observation 1: </w:t>
      </w:r>
      <w:r>
        <w:rPr>
          <w:rFonts w:ascii="Calibri" w:eastAsia="Malgun Gothic" w:hAnsi="Calibri" w:cs="Batang"/>
          <w:b/>
          <w:lang w:val="en-GB" w:eastAsia="ko-KR"/>
        </w:rPr>
        <w:t xml:space="preserve">The </w:t>
      </w:r>
      <w:r w:rsidRPr="00094DA3">
        <w:rPr>
          <w:rFonts w:ascii="Calibri" w:eastAsia="Malgun Gothic" w:hAnsi="Calibri" w:cs="Batang"/>
          <w:b/>
          <w:lang w:val="en-GB" w:eastAsia="ko-KR"/>
        </w:rPr>
        <w:t xml:space="preserve">20-bit IPv6 flow label field provides sufficient bearer identification space for 1:1 mapping to support IAB topologies in even the most aggressive </w:t>
      </w:r>
      <w:r>
        <w:rPr>
          <w:rFonts w:ascii="Calibri" w:eastAsia="Malgun Gothic" w:hAnsi="Calibri" w:cs="Batang"/>
          <w:b/>
          <w:lang w:val="en-GB" w:eastAsia="ko-KR"/>
        </w:rPr>
        <w:t xml:space="preserve">IAB </w:t>
      </w:r>
      <w:r w:rsidRPr="00094DA3">
        <w:rPr>
          <w:rFonts w:ascii="Calibri" w:eastAsia="Malgun Gothic" w:hAnsi="Calibri" w:cs="Batang"/>
          <w:b/>
          <w:lang w:val="en-GB" w:eastAsia="ko-KR"/>
        </w:rPr>
        <w:t>deployment scenarios</w:t>
      </w:r>
      <w:r>
        <w:rPr>
          <w:rFonts w:ascii="Calibri" w:eastAsia="Malgun Gothic" w:hAnsi="Calibri" w:cs="Batang"/>
          <w:b/>
          <w:lang w:val="en-GB" w:eastAsia="ko-KR"/>
        </w:rPr>
        <w:t>.</w:t>
      </w:r>
    </w:p>
    <w:p w:rsidR="00477F9F" w:rsidRPr="003E02B9" w:rsidRDefault="00477F9F" w:rsidP="00477F9F">
      <w:pPr>
        <w:rPr>
          <w:rFonts w:ascii="Calibri" w:eastAsia="Malgun Gothic" w:hAnsi="Calibri" w:cs="Batang"/>
          <w:b/>
          <w:lang w:val="en-GB" w:eastAsia="ko-KR"/>
        </w:rPr>
      </w:pPr>
      <w:r w:rsidRPr="003E02B9">
        <w:rPr>
          <w:rFonts w:ascii="Calibri" w:eastAsia="Malgun Gothic" w:hAnsi="Calibri" w:cs="Batang"/>
          <w:b/>
          <w:lang w:val="en-GB" w:eastAsia="ko-KR"/>
        </w:rPr>
        <w:t>Observation 2: From a customer throughput experience perspective an IAB network operator would n</w:t>
      </w:r>
      <w:r w:rsidR="000E7524">
        <w:rPr>
          <w:rFonts w:ascii="Calibri" w:eastAsia="Malgun Gothic" w:hAnsi="Calibri" w:cs="Batang"/>
          <w:b/>
          <w:lang w:val="en-GB" w:eastAsia="ko-KR"/>
        </w:rPr>
        <w:t>ever</w:t>
      </w:r>
      <w:r w:rsidRPr="003E02B9">
        <w:rPr>
          <w:rFonts w:ascii="Calibri" w:eastAsia="Malgun Gothic" w:hAnsi="Calibri" w:cs="Batang"/>
          <w:b/>
          <w:lang w:val="en-GB" w:eastAsia="ko-KR"/>
        </w:rPr>
        <w:t xml:space="preserve"> deploy topologies that fully utilize the range of bearers supported by the 20-bit IPv6 flow label field. Hence, the 20-bit IPv6 flow label field is sufficient. </w:t>
      </w:r>
    </w:p>
    <w:p w:rsidR="00477F9F" w:rsidRPr="00477F9F" w:rsidRDefault="00477F9F" w:rsidP="00477F9F">
      <w:pPr>
        <w:rPr>
          <w:rFonts w:ascii="Calibri" w:eastAsia="Malgun Gothic" w:hAnsi="Calibri" w:cs="Batang"/>
          <w:b/>
          <w:lang w:val="en-GB" w:eastAsia="ko-KR"/>
        </w:rPr>
      </w:pPr>
      <w:r w:rsidRPr="00477F9F">
        <w:rPr>
          <w:rFonts w:ascii="Calibri" w:eastAsia="Malgun Gothic" w:hAnsi="Calibri" w:cs="Batang"/>
          <w:b/>
          <w:lang w:val="en-GB" w:eastAsia="ko-KR"/>
        </w:rPr>
        <w:t>Observation 3: For 1:1 bearer mapping case with tight QoS control, 20-bit IPv6 flow label field is even more likely to be sufficient compared to a deployment scenario where tight QoS control is not required.</w:t>
      </w:r>
    </w:p>
    <w:p w:rsidR="00C408C7" w:rsidRDefault="00C408C7" w:rsidP="00C408C7">
      <w:pPr>
        <w:rPr>
          <w:rFonts w:ascii="Calibri" w:eastAsia="Malgun Gothic" w:hAnsi="Calibri" w:cs="Batang"/>
          <w:b/>
          <w:lang w:val="en-GB" w:eastAsia="ko-KR"/>
        </w:rPr>
      </w:pPr>
    </w:p>
    <w:p w:rsidR="00477F9F" w:rsidRPr="00477F9F" w:rsidRDefault="00477F9F" w:rsidP="00477F9F">
      <w:pPr>
        <w:rPr>
          <w:rFonts w:ascii="Calibri" w:eastAsia="Malgun Gothic" w:hAnsi="Calibri" w:cs="Batang"/>
          <w:b/>
          <w:lang w:val="en-GB" w:eastAsia="ko-KR"/>
        </w:rPr>
      </w:pPr>
      <w:r w:rsidRPr="00477F9F">
        <w:rPr>
          <w:rFonts w:ascii="Calibri" w:eastAsia="Malgun Gothic" w:hAnsi="Calibri" w:cs="Batang"/>
          <w:b/>
          <w:lang w:val="en-GB" w:eastAsia="ko-KR"/>
        </w:rPr>
        <w:t>Proposal 1: 20-bit IPv6 flow label field is expected to provide sufficient space to support practical IAB deployment scenarios, so RAN2 should confirm RAN3’s working assumption to adopt IPv6 flow label for 1:1 bearer mapping.</w:t>
      </w:r>
    </w:p>
    <w:p w:rsidR="00477F9F" w:rsidRPr="004131D6" w:rsidRDefault="00477F9F" w:rsidP="00C408C7">
      <w:pPr>
        <w:rPr>
          <w:rFonts w:ascii="Calibri" w:eastAsia="Malgun Gothic" w:hAnsi="Calibri" w:cs="Batang"/>
          <w:b/>
          <w:lang w:val="en-GB" w:eastAsia="ko-KR"/>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rsidR="00DB04CF" w:rsidRDefault="00DB04CF" w:rsidP="00DB04CF">
      <w:pPr>
        <w:pStyle w:val="2222"/>
        <w:spacing w:after="120" w:line="288" w:lineRule="auto"/>
        <w:ind w:firstLineChars="0" w:firstLine="0"/>
        <w:jc w:val="left"/>
        <w:rPr>
          <w:rFonts w:cs="Times New Roman"/>
          <w:lang w:eastAsia="ko-KR"/>
        </w:rPr>
      </w:pPr>
      <w:r>
        <w:rPr>
          <w:rFonts w:cs="Times New Roman"/>
          <w:lang w:eastAsia="ko-KR"/>
        </w:rPr>
        <w:t xml:space="preserve">[1] RAN3#103bis Chairman’s Notes, version </w:t>
      </w:r>
      <w:r w:rsidR="00AA12B3">
        <w:rPr>
          <w:rFonts w:cs="Times New Roman"/>
          <w:lang w:eastAsia="ko-KR"/>
        </w:rPr>
        <w:t>20190412_EOM</w:t>
      </w:r>
      <w:r w:rsidR="001E5602">
        <w:rPr>
          <w:rFonts w:cs="Times New Roman"/>
          <w:lang w:eastAsia="ko-KR"/>
        </w:rPr>
        <w:t>, Xi’an, China.</w:t>
      </w:r>
    </w:p>
    <w:p w:rsidR="00074609" w:rsidRPr="00BD2886" w:rsidRDefault="00074609" w:rsidP="00DB04CF">
      <w:pPr>
        <w:pStyle w:val="2222"/>
        <w:spacing w:after="120" w:line="288" w:lineRule="auto"/>
        <w:ind w:firstLineChars="0" w:firstLine="0"/>
        <w:jc w:val="left"/>
        <w:rPr>
          <w:rFonts w:cs="Times New Roman"/>
          <w:lang w:eastAsia="ko-KR"/>
        </w:rPr>
      </w:pPr>
      <w:r>
        <w:rPr>
          <w:rFonts w:cs="Times New Roman"/>
          <w:lang w:eastAsia="ko-KR"/>
        </w:rPr>
        <w:t>[2] R3-192087, LS to RAN2 on bearer limit with IPv6 flow label.</w:t>
      </w:r>
    </w:p>
    <w:p w:rsidR="004A7002" w:rsidRDefault="004131D6" w:rsidP="00DB04CF">
      <w:pPr>
        <w:pStyle w:val="2222"/>
        <w:spacing w:after="120" w:line="288" w:lineRule="auto"/>
        <w:ind w:firstLineChars="0" w:firstLine="0"/>
        <w:jc w:val="left"/>
        <w:rPr>
          <w:rFonts w:cs="Times New Roman"/>
          <w:lang w:eastAsia="ko-KR"/>
        </w:rPr>
      </w:pPr>
      <w:r>
        <w:rPr>
          <w:rFonts w:cs="Times New Roman"/>
          <w:lang w:eastAsia="ko-KR"/>
        </w:rPr>
        <w:t>[</w:t>
      </w:r>
      <w:r w:rsidR="00074609">
        <w:rPr>
          <w:rFonts w:cs="Times New Roman"/>
          <w:lang w:eastAsia="ko-KR"/>
        </w:rPr>
        <w:t>3]</w:t>
      </w:r>
      <w:r>
        <w:rPr>
          <w:rFonts w:cs="Times New Roman"/>
          <w:lang w:eastAsia="ko-KR"/>
        </w:rPr>
        <w:t xml:space="preserve"> </w:t>
      </w:r>
      <w:r w:rsidR="004A7002">
        <w:rPr>
          <w:rFonts w:cs="Times New Roman"/>
          <w:lang w:eastAsia="ko-KR"/>
        </w:rPr>
        <w:t>R</w:t>
      </w:r>
      <w:r w:rsidR="00840540">
        <w:rPr>
          <w:rFonts w:cs="Times New Roman"/>
          <w:lang w:eastAsia="ko-KR"/>
        </w:rPr>
        <w:t xml:space="preserve">FC </w:t>
      </w:r>
      <w:r w:rsidR="00AD0F30">
        <w:rPr>
          <w:rFonts w:cs="Times New Roman"/>
          <w:lang w:eastAsia="ko-KR"/>
        </w:rPr>
        <w:t>2460</w:t>
      </w:r>
      <w:r w:rsidR="00840540">
        <w:rPr>
          <w:rFonts w:cs="Times New Roman"/>
          <w:lang w:eastAsia="ko-KR"/>
        </w:rPr>
        <w:t>, I</w:t>
      </w:r>
      <w:r w:rsidR="00AD0F30">
        <w:rPr>
          <w:rFonts w:cs="Times New Roman"/>
          <w:lang w:eastAsia="ko-KR"/>
        </w:rPr>
        <w:t>nternet Protocol, Version 6 (IPv6) Specification</w:t>
      </w:r>
      <w:r w:rsidR="001E5602">
        <w:rPr>
          <w:rFonts w:cs="Times New Roman"/>
          <w:lang w:eastAsia="ko-KR"/>
        </w:rPr>
        <w:t>.</w:t>
      </w:r>
    </w:p>
    <w:sectPr w:rsidR="004A700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6DB8" w:rsidRDefault="005B6DB8" w:rsidP="00424124">
      <w:pPr>
        <w:spacing w:before="0" w:after="0"/>
      </w:pPr>
      <w:r>
        <w:separator/>
      </w:r>
    </w:p>
  </w:endnote>
  <w:endnote w:type="continuationSeparator" w:id="0">
    <w:p w:rsidR="005B6DB8" w:rsidRDefault="005B6DB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6DB8" w:rsidRDefault="005B6DB8" w:rsidP="00424124">
      <w:pPr>
        <w:spacing w:before="0" w:after="0"/>
      </w:pPr>
      <w:r>
        <w:separator/>
      </w:r>
    </w:p>
  </w:footnote>
  <w:footnote w:type="continuationSeparator" w:id="0">
    <w:p w:rsidR="005B6DB8" w:rsidRDefault="005B6DB8"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4"/>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12"/>
  </w:num>
  <w:num w:numId="9">
    <w:abstractNumId w:val="2"/>
  </w:num>
  <w:num w:numId="10">
    <w:abstractNumId w:val="3"/>
  </w:num>
  <w:num w:numId="11">
    <w:abstractNumId w:val="15"/>
  </w:num>
  <w:num w:numId="12">
    <w:abstractNumId w:val="8"/>
  </w:num>
  <w:num w:numId="13">
    <w:abstractNumId w:val="9"/>
  </w:num>
  <w:num w:numId="14">
    <w:abstractNumId w:val="19"/>
  </w:num>
  <w:num w:numId="15">
    <w:abstractNumId w:val="1"/>
  </w:num>
  <w:num w:numId="16">
    <w:abstractNumId w:val="17"/>
  </w:num>
  <w:num w:numId="17">
    <w:abstractNumId w:val="13"/>
  </w:num>
  <w:num w:numId="18">
    <w:abstractNumId w:val="10"/>
  </w:num>
  <w:num w:numId="19">
    <w:abstractNumId w:val="5"/>
  </w:num>
  <w:num w:numId="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522"/>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353F"/>
    <w:rsid w:val="000550BC"/>
    <w:rsid w:val="00057E9B"/>
    <w:rsid w:val="000643FA"/>
    <w:rsid w:val="00070728"/>
    <w:rsid w:val="000730C9"/>
    <w:rsid w:val="00074609"/>
    <w:rsid w:val="0007575F"/>
    <w:rsid w:val="00075B2C"/>
    <w:rsid w:val="00075FD1"/>
    <w:rsid w:val="00077712"/>
    <w:rsid w:val="00085800"/>
    <w:rsid w:val="000865E3"/>
    <w:rsid w:val="000917C5"/>
    <w:rsid w:val="00094DA3"/>
    <w:rsid w:val="00097DC6"/>
    <w:rsid w:val="000A36A9"/>
    <w:rsid w:val="000B0720"/>
    <w:rsid w:val="000B58AF"/>
    <w:rsid w:val="000B6D99"/>
    <w:rsid w:val="000C05C0"/>
    <w:rsid w:val="000C21D0"/>
    <w:rsid w:val="000C57B9"/>
    <w:rsid w:val="000D176F"/>
    <w:rsid w:val="000D38DC"/>
    <w:rsid w:val="000E2283"/>
    <w:rsid w:val="000E29D8"/>
    <w:rsid w:val="000E7524"/>
    <w:rsid w:val="000F259D"/>
    <w:rsid w:val="000F6CCA"/>
    <w:rsid w:val="0010303E"/>
    <w:rsid w:val="0011327D"/>
    <w:rsid w:val="0011588C"/>
    <w:rsid w:val="00116DA6"/>
    <w:rsid w:val="001279BC"/>
    <w:rsid w:val="001356D6"/>
    <w:rsid w:val="00137E15"/>
    <w:rsid w:val="001417A8"/>
    <w:rsid w:val="00153793"/>
    <w:rsid w:val="00162B42"/>
    <w:rsid w:val="00164A98"/>
    <w:rsid w:val="00172743"/>
    <w:rsid w:val="00175301"/>
    <w:rsid w:val="00184E81"/>
    <w:rsid w:val="001901AC"/>
    <w:rsid w:val="001A5A68"/>
    <w:rsid w:val="001A6212"/>
    <w:rsid w:val="001A75E0"/>
    <w:rsid w:val="001B7305"/>
    <w:rsid w:val="001B731B"/>
    <w:rsid w:val="001C4ACE"/>
    <w:rsid w:val="001C699C"/>
    <w:rsid w:val="001E02F3"/>
    <w:rsid w:val="001E0CE1"/>
    <w:rsid w:val="001E404E"/>
    <w:rsid w:val="001E5602"/>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1B7E"/>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65A78"/>
    <w:rsid w:val="00372594"/>
    <w:rsid w:val="003727DB"/>
    <w:rsid w:val="00385177"/>
    <w:rsid w:val="00386642"/>
    <w:rsid w:val="00392176"/>
    <w:rsid w:val="003921D6"/>
    <w:rsid w:val="00397058"/>
    <w:rsid w:val="003A0594"/>
    <w:rsid w:val="003A298A"/>
    <w:rsid w:val="003A553B"/>
    <w:rsid w:val="003A566A"/>
    <w:rsid w:val="003B1EC9"/>
    <w:rsid w:val="003B5456"/>
    <w:rsid w:val="003C2392"/>
    <w:rsid w:val="003C2E75"/>
    <w:rsid w:val="003C3250"/>
    <w:rsid w:val="003E02B9"/>
    <w:rsid w:val="003E1304"/>
    <w:rsid w:val="003E35D4"/>
    <w:rsid w:val="003E7121"/>
    <w:rsid w:val="003F0731"/>
    <w:rsid w:val="003F33B4"/>
    <w:rsid w:val="004011AC"/>
    <w:rsid w:val="00405F6D"/>
    <w:rsid w:val="004131D6"/>
    <w:rsid w:val="00424124"/>
    <w:rsid w:val="00434212"/>
    <w:rsid w:val="00440F6E"/>
    <w:rsid w:val="00443645"/>
    <w:rsid w:val="00443CD6"/>
    <w:rsid w:val="004552C9"/>
    <w:rsid w:val="004607AC"/>
    <w:rsid w:val="0046127E"/>
    <w:rsid w:val="00464389"/>
    <w:rsid w:val="00466E46"/>
    <w:rsid w:val="004678E1"/>
    <w:rsid w:val="004709B7"/>
    <w:rsid w:val="00473281"/>
    <w:rsid w:val="00473B68"/>
    <w:rsid w:val="00477F9F"/>
    <w:rsid w:val="0048301B"/>
    <w:rsid w:val="00494D73"/>
    <w:rsid w:val="004A5ABE"/>
    <w:rsid w:val="004A6424"/>
    <w:rsid w:val="004A69D0"/>
    <w:rsid w:val="004A6A82"/>
    <w:rsid w:val="004A7002"/>
    <w:rsid w:val="004B376A"/>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8506A"/>
    <w:rsid w:val="00591190"/>
    <w:rsid w:val="00591208"/>
    <w:rsid w:val="005A18B4"/>
    <w:rsid w:val="005A60B4"/>
    <w:rsid w:val="005B47BD"/>
    <w:rsid w:val="005B69C2"/>
    <w:rsid w:val="005B6DB8"/>
    <w:rsid w:val="005B6FA6"/>
    <w:rsid w:val="005C55D3"/>
    <w:rsid w:val="005D2C51"/>
    <w:rsid w:val="005F21BF"/>
    <w:rsid w:val="005F613D"/>
    <w:rsid w:val="005F705D"/>
    <w:rsid w:val="00600F57"/>
    <w:rsid w:val="00603015"/>
    <w:rsid w:val="0060603E"/>
    <w:rsid w:val="00621955"/>
    <w:rsid w:val="00632789"/>
    <w:rsid w:val="00633934"/>
    <w:rsid w:val="00634707"/>
    <w:rsid w:val="00636F9E"/>
    <w:rsid w:val="006439F2"/>
    <w:rsid w:val="00644034"/>
    <w:rsid w:val="006477B7"/>
    <w:rsid w:val="00652AC8"/>
    <w:rsid w:val="0065437E"/>
    <w:rsid w:val="0066157D"/>
    <w:rsid w:val="00665936"/>
    <w:rsid w:val="006703A8"/>
    <w:rsid w:val="0067125A"/>
    <w:rsid w:val="00671E30"/>
    <w:rsid w:val="006756FB"/>
    <w:rsid w:val="00677BD0"/>
    <w:rsid w:val="00685B82"/>
    <w:rsid w:val="00685E11"/>
    <w:rsid w:val="0069705B"/>
    <w:rsid w:val="006A0EDC"/>
    <w:rsid w:val="006A18DB"/>
    <w:rsid w:val="006A2D2E"/>
    <w:rsid w:val="006B67B9"/>
    <w:rsid w:val="006C0BAC"/>
    <w:rsid w:val="006C452E"/>
    <w:rsid w:val="006C7692"/>
    <w:rsid w:val="006D2F17"/>
    <w:rsid w:val="006D6ABC"/>
    <w:rsid w:val="006E790B"/>
    <w:rsid w:val="006F055C"/>
    <w:rsid w:val="006F3E32"/>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36776"/>
    <w:rsid w:val="00740B36"/>
    <w:rsid w:val="007416A2"/>
    <w:rsid w:val="00745452"/>
    <w:rsid w:val="00747A6F"/>
    <w:rsid w:val="0075622F"/>
    <w:rsid w:val="0075669D"/>
    <w:rsid w:val="0076067D"/>
    <w:rsid w:val="00782CDC"/>
    <w:rsid w:val="007839F9"/>
    <w:rsid w:val="00784132"/>
    <w:rsid w:val="00786229"/>
    <w:rsid w:val="0078708D"/>
    <w:rsid w:val="00787145"/>
    <w:rsid w:val="0079168D"/>
    <w:rsid w:val="00791D57"/>
    <w:rsid w:val="007A2765"/>
    <w:rsid w:val="007B13E5"/>
    <w:rsid w:val="007B2F6B"/>
    <w:rsid w:val="007B473A"/>
    <w:rsid w:val="007C4B85"/>
    <w:rsid w:val="007D0BB2"/>
    <w:rsid w:val="007D2C48"/>
    <w:rsid w:val="007E52F3"/>
    <w:rsid w:val="007E546F"/>
    <w:rsid w:val="007F0AF3"/>
    <w:rsid w:val="007F1928"/>
    <w:rsid w:val="007F392E"/>
    <w:rsid w:val="00800F70"/>
    <w:rsid w:val="00811A1B"/>
    <w:rsid w:val="00811FCD"/>
    <w:rsid w:val="00814815"/>
    <w:rsid w:val="00824DED"/>
    <w:rsid w:val="00826E5A"/>
    <w:rsid w:val="0083713D"/>
    <w:rsid w:val="00840540"/>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34C"/>
    <w:rsid w:val="00933AFB"/>
    <w:rsid w:val="00940101"/>
    <w:rsid w:val="00940DAB"/>
    <w:rsid w:val="00941829"/>
    <w:rsid w:val="009445D2"/>
    <w:rsid w:val="009453B3"/>
    <w:rsid w:val="00954A35"/>
    <w:rsid w:val="009550DA"/>
    <w:rsid w:val="00957172"/>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C21C2"/>
    <w:rsid w:val="009D46C1"/>
    <w:rsid w:val="009E0D02"/>
    <w:rsid w:val="009E4418"/>
    <w:rsid w:val="009E5838"/>
    <w:rsid w:val="00A0235E"/>
    <w:rsid w:val="00A04526"/>
    <w:rsid w:val="00A11704"/>
    <w:rsid w:val="00A11840"/>
    <w:rsid w:val="00A14282"/>
    <w:rsid w:val="00A21D13"/>
    <w:rsid w:val="00A22671"/>
    <w:rsid w:val="00A22C61"/>
    <w:rsid w:val="00A262E4"/>
    <w:rsid w:val="00A26EC3"/>
    <w:rsid w:val="00A300E0"/>
    <w:rsid w:val="00A3158B"/>
    <w:rsid w:val="00A34F57"/>
    <w:rsid w:val="00A359C7"/>
    <w:rsid w:val="00A41CF3"/>
    <w:rsid w:val="00A456B1"/>
    <w:rsid w:val="00A4674D"/>
    <w:rsid w:val="00A547CE"/>
    <w:rsid w:val="00A55FF3"/>
    <w:rsid w:val="00A603CE"/>
    <w:rsid w:val="00A605F1"/>
    <w:rsid w:val="00A61CB6"/>
    <w:rsid w:val="00A64CF7"/>
    <w:rsid w:val="00A72B33"/>
    <w:rsid w:val="00A821EA"/>
    <w:rsid w:val="00A8721E"/>
    <w:rsid w:val="00A92495"/>
    <w:rsid w:val="00AA12B3"/>
    <w:rsid w:val="00AA5160"/>
    <w:rsid w:val="00AA5899"/>
    <w:rsid w:val="00AB0589"/>
    <w:rsid w:val="00AB75A3"/>
    <w:rsid w:val="00AB7FC6"/>
    <w:rsid w:val="00AC05AE"/>
    <w:rsid w:val="00AD0F30"/>
    <w:rsid w:val="00AD115D"/>
    <w:rsid w:val="00AD16AE"/>
    <w:rsid w:val="00AD6C53"/>
    <w:rsid w:val="00AE72F4"/>
    <w:rsid w:val="00AF0A4B"/>
    <w:rsid w:val="00AF3BF2"/>
    <w:rsid w:val="00AF4BBC"/>
    <w:rsid w:val="00AF5875"/>
    <w:rsid w:val="00AF65DE"/>
    <w:rsid w:val="00AF733C"/>
    <w:rsid w:val="00B04278"/>
    <w:rsid w:val="00B12672"/>
    <w:rsid w:val="00B2434D"/>
    <w:rsid w:val="00B24D29"/>
    <w:rsid w:val="00B32216"/>
    <w:rsid w:val="00B34716"/>
    <w:rsid w:val="00B3707E"/>
    <w:rsid w:val="00B40DE1"/>
    <w:rsid w:val="00B55FA2"/>
    <w:rsid w:val="00B61A13"/>
    <w:rsid w:val="00B6232D"/>
    <w:rsid w:val="00B648CA"/>
    <w:rsid w:val="00B714C9"/>
    <w:rsid w:val="00B74894"/>
    <w:rsid w:val="00B749FB"/>
    <w:rsid w:val="00B75FF7"/>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E26B4"/>
    <w:rsid w:val="00BF0257"/>
    <w:rsid w:val="00BF2C5D"/>
    <w:rsid w:val="00BF31E3"/>
    <w:rsid w:val="00BF5F1C"/>
    <w:rsid w:val="00C04E8A"/>
    <w:rsid w:val="00C07731"/>
    <w:rsid w:val="00C17E83"/>
    <w:rsid w:val="00C218A9"/>
    <w:rsid w:val="00C261F4"/>
    <w:rsid w:val="00C30C6F"/>
    <w:rsid w:val="00C408C7"/>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3BF6"/>
    <w:rsid w:val="00CB6D97"/>
    <w:rsid w:val="00CC09CE"/>
    <w:rsid w:val="00CD0E88"/>
    <w:rsid w:val="00CD7B54"/>
    <w:rsid w:val="00CE0C9D"/>
    <w:rsid w:val="00CE1FF5"/>
    <w:rsid w:val="00D10682"/>
    <w:rsid w:val="00D134C5"/>
    <w:rsid w:val="00D21FF6"/>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C24"/>
    <w:rsid w:val="00D55FAB"/>
    <w:rsid w:val="00D56786"/>
    <w:rsid w:val="00D61EAB"/>
    <w:rsid w:val="00D6706B"/>
    <w:rsid w:val="00D701D3"/>
    <w:rsid w:val="00D724F9"/>
    <w:rsid w:val="00D7445F"/>
    <w:rsid w:val="00D91E8D"/>
    <w:rsid w:val="00D92B1D"/>
    <w:rsid w:val="00D93FEB"/>
    <w:rsid w:val="00DB0323"/>
    <w:rsid w:val="00DB04CF"/>
    <w:rsid w:val="00DB1FA7"/>
    <w:rsid w:val="00DB3BFC"/>
    <w:rsid w:val="00DC0E31"/>
    <w:rsid w:val="00DC4FEF"/>
    <w:rsid w:val="00DC70D0"/>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0E4D"/>
    <w:rsid w:val="00E4377A"/>
    <w:rsid w:val="00E46D61"/>
    <w:rsid w:val="00E54061"/>
    <w:rsid w:val="00E545F2"/>
    <w:rsid w:val="00E54CC6"/>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1311C"/>
    <w:rsid w:val="00F154D0"/>
    <w:rsid w:val="00F20DFF"/>
    <w:rsid w:val="00F246F5"/>
    <w:rsid w:val="00F261D6"/>
    <w:rsid w:val="00F26D45"/>
    <w:rsid w:val="00F30C84"/>
    <w:rsid w:val="00F35704"/>
    <w:rsid w:val="00F35911"/>
    <w:rsid w:val="00F35DD7"/>
    <w:rsid w:val="00F42D43"/>
    <w:rsid w:val="00F463C9"/>
    <w:rsid w:val="00F50B2E"/>
    <w:rsid w:val="00F57965"/>
    <w:rsid w:val="00F62C88"/>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jmundar\AppData\Local\Temp\Temp1_RAN3_103bis_agenda_with_Tdocs20190409_2053.zip\Inbox\R3-19206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02888-070D-499D-A115-7F85D2DEC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8599</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9</cp:revision>
  <cp:lastPrinted>2018-09-28T20:14:00Z</cp:lastPrinted>
  <dcterms:created xsi:type="dcterms:W3CDTF">2019-04-26T18:59:00Z</dcterms:created>
  <dcterms:modified xsi:type="dcterms:W3CDTF">2019-05-03T02:17:00Z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